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Times New Roman"/>
          <w:sz w:val="24"/>
          <w:szCs w:val="24"/>
        </w:rPr>
      </w:pPr>
    </w:p>
    <w:tbl>
      <w:tblPr>
        <w:tblStyle w:val="6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6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起草单位</w:t>
            </w:r>
          </w:p>
        </w:tc>
        <w:tc>
          <w:tcPr>
            <w:tcW w:w="6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起草人签名及日期</w:t>
            </w:r>
          </w:p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使用单位</w:t>
            </w:r>
          </w:p>
        </w:tc>
        <w:tc>
          <w:tcPr>
            <w:tcW w:w="659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9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审核单位 </w:t>
            </w:r>
          </w:p>
        </w:tc>
        <w:tc>
          <w:tcPr>
            <w:tcW w:w="6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审核人签名及日期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使用单位</w:t>
            </w:r>
          </w:p>
        </w:tc>
        <w:tc>
          <w:tcPr>
            <w:tcW w:w="6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装备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部</w:t>
            </w:r>
          </w:p>
        </w:tc>
        <w:tc>
          <w:tcPr>
            <w:tcW w:w="6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5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生产指挥中心</w:t>
            </w:r>
          </w:p>
        </w:tc>
        <w:tc>
          <w:tcPr>
            <w:tcW w:w="65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6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</w:rPr>
              <w:t>批准人</w:t>
            </w:r>
          </w:p>
        </w:tc>
        <w:tc>
          <w:tcPr>
            <w:tcW w:w="675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批准人签名及日期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装备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sz w:val="24"/>
                <w:szCs w:val="24"/>
              </w:rPr>
              <w:t>部部长</w:t>
            </w:r>
          </w:p>
        </w:tc>
        <w:tc>
          <w:tcPr>
            <w:tcW w:w="675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质量负责人</w:t>
            </w:r>
          </w:p>
        </w:tc>
        <w:tc>
          <w:tcPr>
            <w:tcW w:w="675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spacing w:line="520" w:lineRule="exact"/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3969" w:type="dxa"/>
          </w:tcPr>
          <w:p>
            <w:pPr>
              <w:spacing w:line="52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使用单位：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205分厂</w:t>
            </w:r>
          </w:p>
        </w:tc>
        <w:tc>
          <w:tcPr>
            <w:tcW w:w="5190" w:type="dxa"/>
          </w:tcPr>
          <w:p>
            <w:pPr>
              <w:spacing w:line="520" w:lineRule="exact"/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资金来源：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☑技改费  □管理费（维修）</w:t>
            </w:r>
          </w:p>
          <w:p>
            <w:pPr>
              <w:spacing w:line="520" w:lineRule="exact"/>
              <w:ind w:firstLine="1200" w:firstLineChars="500"/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□研发费  □制造费（备件材料）</w:t>
            </w:r>
          </w:p>
          <w:p>
            <w:pPr>
              <w:spacing w:line="520" w:lineRule="exact"/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9159" w:type="dxa"/>
            <w:gridSpan w:val="2"/>
          </w:tcPr>
          <w:p>
            <w:pPr>
              <w:spacing w:line="520" w:lineRule="exact"/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目的：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解决耙式干燥机老化、故障率高的问题，保障生产安全稳定运行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9159" w:type="dxa"/>
            <w:gridSpan w:val="2"/>
          </w:tcPr>
          <w:p>
            <w:pPr>
              <w:spacing w:line="520" w:lineRule="exact"/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工艺描述：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湿品左盐通过干燥机进行干燥，去除左盐内残存的水分及溶媒。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9159" w:type="dxa"/>
            <w:gridSpan w:val="2"/>
          </w:tcPr>
          <w:p>
            <w:pPr>
              <w:spacing w:line="520" w:lineRule="exact"/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执行标准（规章制度、法规）：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符合GMP及CGMP</w:t>
            </w:r>
          </w:p>
        </w:tc>
      </w:tr>
    </w:tbl>
    <w:tbl>
      <w:tblPr>
        <w:tblStyle w:val="6"/>
        <w:tblW w:w="916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50"/>
        <w:gridCol w:w="5295"/>
        <w:gridCol w:w="13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tblHeader/>
          <w:jc w:val="center"/>
        </w:trPr>
        <w:tc>
          <w:tcPr>
            <w:tcW w:w="8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要求内容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必须/期望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URS01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设备工艺或性能要求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设备名称：全开式耙式真空干燥机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数量：1台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设备主要结构或配置：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全开式耙式真空干燥机主要由筒体、搅拌轴、传动系统和密封装置等部分组成。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搅拌桨：搅拌桨离罐壁距离不大于5mm，卧式搅拌，搅拌桨内部采取加热，保证物料在内完全搅拌且不得有物料粘附在搅拌上。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减速机采用国内一线品牌，如江苏国贸、宁波东力、江苏泰隆优先选用江苏国茂。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最大转速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 xml:space="preserve"> r/min ，转速可调，可正、反转，现场可显示转速。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捕尘器：滤袋孔径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μm，材质为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聚氨酯纤维毡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过滤面积：1㎡，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捕尘器设夹套，有加热功能，连接方式为法兰连接；和真空连接为快开连接，方便拆卸；捕尘器带有脉冲吹扫功能，时间可设置。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出料方式：活塞式出料阀设置在正面箱体，通过搅拌反转将物料送出，配置残留物料耙，材质为四氟；设备设置取样口、取样阀，方便干燥中途取样。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清洗：设备内腔保证清洗无死角，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有在线喷淋清洗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；离线浸泡清洗，减少残留及清洗死角，捕尘器有清洗口。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正面设置观察视镜，出料阀与箱门内壁之间为一平面，无死角，无物料残留。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采用干式单端面机械密封，双碳化钨材质（采用兰天品牌或国内一线同等品牌），要求无异物脱落，清洗无死角。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箱体夹套循环热水：进、出口为DN50法兰连接；捕尘器夹套循环水：DN25法兰连接；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真空接口（DN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）快开连接；视镜观察口：DN100；出料口：DN200，出料阀出口为DN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；搅拌夹套循环水接口：法兰DN25；取样口快开：DN50；氮气吹扫口：DN15；排液口DN25快开（排液口在非排液时和筒体无死角）；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接口连接方式：除固定在设备本体上必须用法兰连接到管口，其他工艺接口可拆的采用卫生级卡箍连接。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所有可拆装饰面采用六角螺丝固定，便于清洗与拆卸。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干燥机带中央锁紧结构及洁净区隔离措施</w:t>
            </w:r>
          </w:p>
          <w:p>
            <w:pPr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GB" w:eastAsia="zh-CN"/>
              </w:rPr>
              <w:t>机体各加热分项集成至进出口集箱，配齐热源进出口温度、压力、分支阀门。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主要参数；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1.型号：2000L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2.外形尺寸：不大于4050mm*1700mm*3320mm（长*宽*高）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3.容积：2000L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4.传热面积：8.8㎡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5.工作压力：工作内腔：-0.1-0MPa；夹层压力：0-0.5MPa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6.工作温度：：工作内腔：0-160℃；夹层温度：0-200℃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7.耙轴转数：0-13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r/min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8.筒体保温外壳采用厚度2mm，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前门保温外壳厚度2mm，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304不锈钢板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主要运行工况：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运行时干燥机需进行正反转切换，内腔处于真空状态，真空度不低于0.096MPa，夹层、主轴及门夹层内通热水进行加热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物料的性质：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物料干涩易成团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URS02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cs="Arial" w:asciiTheme="minorEastAsia" w:hAnsiTheme="minorEastAsia" w:eastAsiaTheme="minorEastAsia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</w:rPr>
              <w:t>设备传动部位应有必要的安全保护措施，防止人员受到伤害。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设备任何部位不能有锋利的边缘和尖角。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设备发生故障应有蜂鸣装置进行报警，可对现场实际情况进行提示作用。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设备就近位置安装急停按钮。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当电源出现故障、电源故障报警；有断电记忆功能，所有运行数据能被储存记忆不被丢失。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Arial" w:hAnsi="Arial" w:cs="Arial" w:eastAsiaTheme="minorEastAsia"/>
                <w:sz w:val="24"/>
              </w:rPr>
              <w:t>设备异常断电</w:t>
            </w:r>
            <w:r>
              <w:rPr>
                <w:rFonts w:hint="eastAsia" w:ascii="Arial" w:hAnsi="Arial" w:cs="Arial" w:eastAsiaTheme="minorEastAsia"/>
                <w:sz w:val="24"/>
                <w:lang w:val="en-US" w:eastAsia="zh-CN"/>
              </w:rPr>
              <w:t>后</w:t>
            </w:r>
            <w:r>
              <w:rPr>
                <w:rFonts w:ascii="Arial" w:hAnsi="Arial" w:cs="Arial" w:eastAsiaTheme="minorEastAsia"/>
                <w:sz w:val="24"/>
              </w:rPr>
              <w:t>，来电时需要人为操作设备才能运行。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 w:eastAsiaTheme="minorEastAsia"/>
                <w:sz w:val="24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URS03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安装区域及位置要求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厂房内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□厂房外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非防爆区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☑防爆区 防爆等级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  <w:t>Exd</w:t>
            </w:r>
            <w: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Ⅱ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  <w:t>BT4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URS04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安装环境要求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非洁净区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☑洁净区 洁净等级 D级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安装空间：5m*4.5m*4m（长*宽*高）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温度范围：5-40℃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URS05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电力要求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1.甲供配电为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三相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线制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380V/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220V </w:t>
            </w:r>
            <w:r>
              <w:rPr>
                <w:rFonts w:hint="eastAsia" w:ascii="宋体" w:hAnsi="宋体"/>
                <w:sz w:val="24"/>
              </w:rPr>
              <w:t>50Hz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乙方设备需匹配。</w:t>
            </w:r>
          </w:p>
          <w:p>
            <w:pPr>
              <w:rPr>
                <w:rFonts w:hint="default" w:cs="Arial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2.是否需乙方提供控制柜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控制柜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材质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碳钢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表面使用防锈漆/防腐涂层/镀锌处理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控制柜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厚度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≥2mm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3.控制柜</w:t>
            </w:r>
            <w:r>
              <w:rPr>
                <w:rFonts w:hint="eastAsia" w:ascii="仿宋_GB2312"/>
                <w:sz w:val="24"/>
              </w:rPr>
              <w:t>防护等级：IP</w:t>
            </w:r>
            <w:r>
              <w:rPr>
                <w:rFonts w:hint="eastAsia" w:ascii="仿宋_GB2312"/>
                <w:sz w:val="24"/>
                <w:lang w:val="en-US" w:eastAsia="zh-CN"/>
              </w:rPr>
              <w:t>55</w:t>
            </w:r>
          </w:p>
          <w:p>
            <w:pPr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所有电线、气管等两端都要有线号，线号和图纸相一致。</w:t>
            </w:r>
          </w:p>
          <w:p>
            <w:pP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5.柜内附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电路图和手册中的相一致，危险区域张贴电器安全标识。</w:t>
            </w:r>
          </w:p>
          <w:p>
            <w:pP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6.电器元件触点、端子及电缆等选用符合国标，连接可靠，导电性能良好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7.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断路器（空气开关）、交流接触器、热继电器、按钮等电器元件选用施耐德、西门子、ABB品牌。</w:t>
            </w:r>
          </w:p>
          <w:p>
            <w:pP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8.线缆品牌选用津成、津达、艾克等知名品牌。</w:t>
            </w:r>
          </w:p>
          <w:p>
            <w:pPr>
              <w:rPr>
                <w:rFonts w:cs="Ari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/>
                <w:sz w:val="24"/>
                <w:lang w:val="en-US" w:eastAsia="zh-CN"/>
              </w:rPr>
              <w:t>控制柜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与设备之间的连接管线采用上进线方式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10.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安装因振动易损坏的元件时，应在元件和安装板之间加装橡胶垫减震。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二次线截面积要求：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单股导线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1.5mm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²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多股导线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1.0mm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²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弱电回路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0.5mm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²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电流回路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2.5mm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²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保护接地线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2.5mm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²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.所有连接导线中间不应有接头。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.每个电器元件的接点最多允许接2根线;每个端子的接线点一般不宜接二根导线,特殊情况时如果必须接2根导线,则连接必须可靠。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.为有效的抑制电磁波的辐射和传导，变频器的电机电缆必须采用屏蔽电缆，屏蔽层的电导必须至少为每相导线芯的电导的1/10。</w:t>
            </w:r>
          </w:p>
          <w:p>
            <w:pPr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15.其他要求：变频器功率大于电机功率20%，放置在非防爆区，所有线路、元器件要有明确的线位标识并一一对应，控制柜内设置照明及散热装置，采用上排风并带有保护板，控制柜为落地式安装，接线方式下进下出，盘柜出线离地面30cm。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URS06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设施/公用系统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1.甲供参数：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压缩空气压力：0.4-0.6MPa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循环热水压力：0.2-0.3MPa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循环热水温度：30-90℃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循环水压力：0.3MPa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循环水温度：5~28℃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真空压力：-0.1-0MPa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是否需乙供：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☑否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乙供内容：□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真空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□压缩空气 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其他：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URS07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外观及材质要求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表面涂层色彩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☑否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一般情况下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不锈钢、有色金属、非金属、外表面包镀锌板设备不涂色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电机：</w:t>
            </w:r>
            <w:r>
              <w:rPr>
                <w:rFonts w:hint="eastAsia" w:asciiTheme="minorEastAsia" w:hAnsiTheme="minorEastAsia"/>
                <w:sz w:val="24"/>
                <w:szCs w:val="24"/>
                <w:highlight w:val="none"/>
              </w:rPr>
              <w:t>红色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RAL3003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减速机：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浅灰色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B03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表面粗糙度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设备外表面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Ra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default" w:ascii="宋体" w:hAnsi="宋体"/>
                <w:sz w:val="24"/>
                <w:szCs w:val="24"/>
                <w:highlight w:val="none"/>
              </w:rPr>
              <w:t>0.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宋体" w:hAnsi="宋体"/>
                <w:sz w:val="24"/>
                <w:szCs w:val="24"/>
                <w:highlight w:val="none"/>
              </w:rPr>
              <w:t>μm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设备内表面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Ra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≤</w:t>
            </w:r>
            <w:r>
              <w:rPr>
                <w:rFonts w:hint="default" w:ascii="宋体" w:hAnsi="宋体"/>
                <w:sz w:val="24"/>
                <w:szCs w:val="24"/>
                <w:highlight w:val="none"/>
              </w:rPr>
              <w:t>0.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宋体" w:hAnsi="宋体"/>
                <w:sz w:val="24"/>
                <w:szCs w:val="24"/>
                <w:highlight w:val="none"/>
              </w:rPr>
              <w:t>μm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材质要求：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筒体：304不锈钢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搅拌：304不锈钢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夹套：304不锈钢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保温方式：保温（提供保温棉规格、材质），δ≥50mm，整体外包304不锈钢装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饰层，装饰层强度可耐受运输及使用中可能的碰撞等冲击。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其他要求：所有焊缝应进行精加工处理至光洁度，并且予以适当的钝化处理。设备内表面所有凹凸部件全部采用圆弧过渡，确保无死角易清洁。      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URS08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技术要求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供方需将设备内所涉及的电气设施、气体管道全部整合至设备本体上，需完成内部所有的接管，所有的气源管道采用金属管道，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管道整齐排布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接口统一设置在设备的一侧，供方需在设备上所涉及的热水管道、气体管道、电气接口、清洗管道全部整合到设备本体上并预留唯一进、出口。需方每一种介质只提供一路接口。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箱体：外壁304不锈钢，内部所有可能接触物料的表面均采用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304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不锈钢，提供材质证明。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GB" w:eastAsia="zh-CN"/>
              </w:rPr>
              <w:t>设备焊缝平整，不得有咬边、熔渣和飞溅等缺陷，外表平整光洁。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0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控制系统要求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val="en-US" w:eastAsia="zh-CN"/>
              </w:rPr>
              <w:t>是否需乙方提供控制系统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1.控制系统选择：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仿宋_GB2312"/>
                <w:sz w:val="24"/>
              </w:rPr>
              <w:t>PLC控制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其他：</w:t>
            </w:r>
          </w:p>
          <w:p>
            <w:pPr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/>
                <w:sz w:val="24"/>
              </w:rPr>
              <w:t>PLC</w:t>
            </w:r>
            <w:r>
              <w:rPr>
                <w:rFonts w:hint="eastAsia" w:ascii="仿宋_GB2312"/>
                <w:sz w:val="24"/>
                <w:lang w:val="en-US" w:eastAsia="zh-CN"/>
              </w:rPr>
              <w:t>选择</w:t>
            </w:r>
            <w:r>
              <w:rPr>
                <w:rFonts w:hint="eastAsia" w:ascii="仿宋_GB2312"/>
                <w:sz w:val="24"/>
              </w:rPr>
              <w:t>施耐德、西门子、ABB</w:t>
            </w:r>
            <w:r>
              <w:rPr>
                <w:rFonts w:hint="eastAsia" w:ascii="仿宋_GB2312"/>
                <w:sz w:val="24"/>
                <w:lang w:val="en-US" w:eastAsia="zh-CN"/>
              </w:rPr>
              <w:t>等知名</w:t>
            </w:r>
            <w:r>
              <w:rPr>
                <w:rFonts w:hint="eastAsia" w:ascii="仿宋_GB2312"/>
                <w:sz w:val="24"/>
              </w:rPr>
              <w:t>品牌</w:t>
            </w:r>
            <w:r>
              <w:rPr>
                <w:rFonts w:hint="eastAsia" w:ascii="仿宋_GB2312"/>
                <w:sz w:val="24"/>
                <w:lang w:eastAsia="zh-CN"/>
              </w:rPr>
              <w:t>。</w:t>
            </w:r>
          </w:p>
          <w:p>
            <w:pPr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3.通讯接口：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以太网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□其他：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设备通过触摸屏或电脑操作。运行过程中的数据、曲线、人员操作记录、报警信息等具备可存储功能，并可以查阅相关记录，留存数据要求。数据、曲线、人员操作记录以及报警信息可保存为PDF 及 EXCEL 版本，保存时间不小于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6个月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，并可以通过移动存储设备进行拷贝、保存。</w:t>
            </w:r>
          </w:p>
          <w:p>
            <w:pPr>
              <w:rPr>
                <w:rFonts w:hint="eastAsia" w:ascii="宋体" w:hAnsi="宋体" w:eastAsiaTheme="maj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控制系统设置三级管理权限：系统管理、工艺参数和操作权限</w:t>
            </w:r>
            <w:r>
              <w:rPr>
                <w:rStyle w:val="9"/>
                <w:rFonts w:cs="Arial" w:asciiTheme="majorEastAsia" w:hAnsiTheme="majorEastAsia" w:eastAsiaTheme="majorEastAsia"/>
                <w:sz w:val="24"/>
                <w:szCs w:val="24"/>
              </w:rPr>
              <w:t>；</w:t>
            </w:r>
            <w:r>
              <w:rPr>
                <w:rFonts w:cs="Arial" w:asciiTheme="majorEastAsia" w:hAnsiTheme="majorEastAsia" w:eastAsiaTheme="majorEastAsia"/>
                <w:sz w:val="24"/>
                <w:szCs w:val="24"/>
              </w:rPr>
              <w:t>可设定的用户数量不少于10个，高级别对低级别有全权控制的权限。密码可以自行修改，在忘记密码时可以找回密码或重新设置而不至于影响设备使用操作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要求全部程序系统密钥和程序备份，验收前移交甲方，便于甲方后续对计算机程序进行维护，乙方不准设置时间密钥，避免导致触摸屏出现锁死且无法操作情况，要求系统内置程序可拷贝，触摸屏故障时可自主更换。</w:t>
            </w:r>
          </w:p>
          <w:p>
            <w:pPr>
              <w:rPr>
                <w:rFonts w:hint="default" w:ascii="宋体" w:hAnsi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7.其他要求：除设备运行所需正常功能外，控制系统还需有电机过热保护。设置安全接近开关：设备开门时搅拌自动停止且无法启动。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URS10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仪表要求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</w:rPr>
              <w:t>设备所配备的仪表应使用公制单位，易于测试和校正，符合相应的国家标准及行业安全规范，并出具</w:t>
            </w:r>
            <w:r>
              <w:rPr>
                <w:rFonts w:hint="eastAsia" w:ascii="宋体" w:hAnsi="宋体"/>
                <w:sz w:val="24"/>
                <w:szCs w:val="24"/>
              </w:rPr>
              <w:t>校验合格证书</w:t>
            </w: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</w:rPr>
              <w:t>仪表</w:t>
            </w: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</w:rPr>
              <w:t>便于拆装校验。</w:t>
            </w:r>
          </w:p>
          <w:p>
            <w:pPr>
              <w:numPr>
                <w:ilvl w:val="0"/>
                <w:numId w:val="4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4"/>
                <w:sz w:val="24"/>
                <w:szCs w:val="24"/>
                <w:lang w:val="en-US" w:eastAsia="zh-CN"/>
              </w:rPr>
              <w:t>关键仪表的品牌要求：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温度变送器选择天津中环、重庆川仪、上海威尔泰等知名品牌。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压力变送器选择重庆川仪、上海威尔泰、上海洛丁森等知名品牌。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变频器选择施耐德、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西门子、ABB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等知名品牌。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URS11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清洁要求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设备表面及内部便于清洁，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物料接触处无死角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URS12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润滑剂要求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设备是否需加润滑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润滑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剂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类型：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食品级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☑普通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乙方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提供加润滑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剂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点位图和润滑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剂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清单(注明品牌/型号规格等)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推荐的润滑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剂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更换周期。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设备所使用的润滑剂不可与产品进行接触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其他要求；无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URS13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文件要求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乙方需编制资料交接清单，双方交接人员确认签字。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乙方需提供2份纸版资料和1份电子版资料。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乙方需提供资料明细：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☑使用说明书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维护保养手册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报警清单和处理办法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☑外形图（含安装尺寸和要求）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☑备件清单和标注对应位置的图纸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☑电气原理图和接线图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☑验证相关材料见URS15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☑程序备份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☑其他：阀门，电机合格证。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URS14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设备转运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1.乙方需将设备运输至甲方指定地点，</w:t>
            </w:r>
            <w:r>
              <w:rPr>
                <w:rFonts w:cs="Arial" w:asciiTheme="minorEastAsia" w:hAnsiTheme="minorEastAsia" w:eastAsiaTheme="minorEastAsia"/>
                <w:sz w:val="24"/>
              </w:rPr>
              <w:t>应使用可靠的包装形式以保证设备运输安全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设备</w:t>
            </w:r>
            <w:r>
              <w:rPr>
                <w:rFonts w:cs="Arial" w:asciiTheme="minorEastAsia" w:hAnsiTheme="minorEastAsia" w:eastAsiaTheme="minorEastAsia"/>
                <w:sz w:val="24"/>
              </w:rPr>
              <w:t>到货拆箱时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</w:t>
            </w:r>
            <w:r>
              <w:rPr>
                <w:rFonts w:cs="Arial" w:asciiTheme="minorEastAsia" w:hAnsiTheme="minorEastAsia" w:eastAsiaTheme="minorEastAsia"/>
                <w:sz w:val="24"/>
              </w:rPr>
              <w:t>必须陪同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甲方</w:t>
            </w:r>
            <w:r>
              <w:rPr>
                <w:rFonts w:cs="Arial" w:asciiTheme="minorEastAsia" w:hAnsiTheme="minorEastAsia" w:eastAsiaTheme="minorEastAsia"/>
                <w:sz w:val="24"/>
              </w:rPr>
              <w:t>人员进行拆箱,如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</w:t>
            </w:r>
            <w:r>
              <w:rPr>
                <w:rFonts w:cs="Arial" w:asciiTheme="minorEastAsia" w:hAnsiTheme="minorEastAsia" w:eastAsiaTheme="minorEastAsia"/>
                <w:sz w:val="24"/>
              </w:rPr>
              <w:t>授权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甲</w:t>
            </w:r>
            <w:r>
              <w:rPr>
                <w:rFonts w:cs="Arial" w:asciiTheme="minorEastAsia" w:hAnsiTheme="minorEastAsia" w:eastAsiaTheme="minorEastAsia"/>
                <w:sz w:val="24"/>
              </w:rPr>
              <w:t>方自行拆箱,拆箱后如发现机器及零配件有任何损坏、缺少，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</w:t>
            </w:r>
            <w:r>
              <w:rPr>
                <w:rFonts w:cs="Arial" w:asciiTheme="minorEastAsia" w:hAnsiTheme="minorEastAsia" w:eastAsiaTheme="minorEastAsia"/>
                <w:sz w:val="24"/>
              </w:rPr>
              <w:t>应负全责不得推诿。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2.设备卸车职责：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☑甲方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□乙方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设备吊运至安装位置职责：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☑甲方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□乙方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设备安装职责：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☑甲方（乙方指导）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□乙方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5.分体设备现场组装职责：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□甲方（乙方指导）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☑乙方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6.一次线（配电室到现场控制柜）安装职责（材料甲供）：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☑甲方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□乙方</w:t>
            </w:r>
          </w:p>
          <w:p>
            <w:pP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7.二次线（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现场控制柜到设备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）安装职责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（材料甲/乙供）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□甲方（乙方指导）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☑乙方</w:t>
            </w:r>
          </w:p>
          <w:p>
            <w:pPr>
              <w:rPr>
                <w:rFonts w:hint="default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8.设备调试职责：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□乙方将设备调试运行正常后交付甲方。</w:t>
            </w: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☑乙方指导甲方进行设备调试直至运行正常。</w:t>
            </w:r>
          </w:p>
          <w:p>
            <w:pPr>
              <w:rPr>
                <w:rFonts w:hint="eastAsia" w:ascii="宋体" w:hAnsi="宋体" w:eastAsiaTheme="minorEastAsia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9.是否需乙方</w:t>
            </w:r>
            <w:r>
              <w:rPr>
                <w:rFonts w:cs="Arial" w:asciiTheme="minorEastAsia" w:hAnsiTheme="minorEastAsia" w:eastAsiaTheme="minorEastAsia"/>
                <w:sz w:val="24"/>
              </w:rPr>
              <w:t>协同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甲</w:t>
            </w:r>
            <w:r>
              <w:rPr>
                <w:rFonts w:cs="Arial" w:asciiTheme="minorEastAsia" w:hAnsiTheme="minorEastAsia" w:eastAsiaTheme="minorEastAsia"/>
                <w:sz w:val="24"/>
              </w:rPr>
              <w:t>方进行产品试生产，能够连续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稳定</w:t>
            </w:r>
            <w:r>
              <w:rPr>
                <w:rFonts w:cs="Arial" w:asciiTheme="minorEastAsia" w:hAnsiTheme="minorEastAsia" w:eastAsiaTheme="minorEastAsia"/>
                <w:sz w:val="24"/>
              </w:rPr>
              <w:t>生产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3批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）</w:t>
            </w:r>
            <w:r>
              <w:rPr>
                <w:rFonts w:cs="Arial" w:asciiTheme="minorEastAsia" w:hAnsiTheme="minorEastAsia" w:eastAsiaTheme="minorEastAsia"/>
                <w:sz w:val="24"/>
              </w:rPr>
              <w:t>合格产品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。</w:t>
            </w:r>
          </w:p>
          <w:p>
            <w:pPr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☑否</w:t>
            </w:r>
          </w:p>
          <w:p>
            <w:pPr>
              <w:numPr>
                <w:ilvl w:val="0"/>
                <w:numId w:val="9"/>
              </w:numPr>
              <w:rPr>
                <w:rFonts w:hint="default" w:cs="Arial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</w:t>
            </w:r>
            <w:r>
              <w:rPr>
                <w:rFonts w:cs="Arial" w:asciiTheme="minorEastAsia" w:hAnsiTheme="minorEastAsia" w:eastAsiaTheme="minorEastAsia"/>
                <w:sz w:val="24"/>
              </w:rPr>
              <w:t>负责对技术管理人员、操作人员、维修人员进行结构原理、性能、操作、维修、故障排除等基本知识的培训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乙方需编制培训记录，被培训人员需签字确认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9"/>
              </w:numPr>
              <w:rPr>
                <w:rFonts w:hint="default" w:cs="Arial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URS15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验证/确认需求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乙方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协助甲方进行设备验证，并提供相关技术支持，需按甲方要求配合甲方设备验证等相关工作。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乙方需提供的验证材料: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□无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</w:t>
            </w:r>
            <w:r>
              <w:rPr>
                <w:rFonts w:cs="Arial" w:asciiTheme="minorEastAsia" w:hAnsiTheme="minorEastAsia" w:eastAsiaTheme="minorEastAsia"/>
                <w:sz w:val="24"/>
              </w:rPr>
              <w:t>DQ、IQ、OQ、PQ文件材料一份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设备在出厂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试车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报告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☑主要材料（明细：）的材质证明。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□其他：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rFonts w:hint="default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URS16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服务与维护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cs="Arial" w:asciiTheme="minorEastAsia" w:hAnsiTheme="minorEastAsia" w:eastAsiaTheme="minorEastAsia"/>
                <w:sz w:val="24"/>
              </w:rPr>
            </w:pPr>
            <w:r>
              <w:rPr>
                <w:rFonts w:cs="Arial" w:asciiTheme="minorEastAsia" w:hAnsiTheme="minorEastAsia" w:eastAsiaTheme="minorEastAsia"/>
                <w:sz w:val="24"/>
              </w:rPr>
              <w:t>设备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质保</w:t>
            </w:r>
            <w:r>
              <w:rPr>
                <w:rFonts w:cs="Arial" w:asciiTheme="minorEastAsia" w:hAnsiTheme="minorEastAsia" w:eastAsiaTheme="minorEastAsia"/>
                <w:sz w:val="24"/>
              </w:rPr>
              <w:t>期自终验收合格后算起12个月</w:t>
            </w:r>
            <w:r>
              <w:rPr>
                <w:rFonts w:hint="eastAsia" w:cs="Arial" w:asciiTheme="minorEastAsia" w:hAnsiTheme="minorEastAsia" w:eastAsiaTheme="minorEastAsia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1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质保</w:t>
            </w:r>
            <w:r>
              <w:rPr>
                <w:rFonts w:cs="Arial" w:asciiTheme="minorEastAsia" w:hAnsiTheme="minorEastAsia" w:eastAsiaTheme="minorEastAsia"/>
                <w:sz w:val="24"/>
              </w:rPr>
              <w:t>期内，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</w:t>
            </w:r>
            <w:r>
              <w:rPr>
                <w:rFonts w:cs="Arial" w:asciiTheme="minorEastAsia" w:hAnsiTheme="minorEastAsia" w:eastAsiaTheme="minorEastAsia"/>
                <w:sz w:val="24"/>
              </w:rPr>
              <w:t>方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接到甲方通知后48小时内到达现场，</w:t>
            </w:r>
            <w:r>
              <w:rPr>
                <w:rFonts w:cs="Arial" w:asciiTheme="minorEastAsia" w:hAnsiTheme="minorEastAsia" w:eastAsiaTheme="minorEastAsia"/>
                <w:sz w:val="24"/>
              </w:rPr>
              <w:t>免费为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甲</w:t>
            </w:r>
            <w:r>
              <w:rPr>
                <w:rFonts w:cs="Arial" w:asciiTheme="minorEastAsia" w:hAnsiTheme="minorEastAsia" w:eastAsiaTheme="minorEastAsia"/>
                <w:sz w:val="24"/>
              </w:rPr>
              <w:t>方维修设备</w:t>
            </w:r>
            <w:r>
              <w:rPr>
                <w:rFonts w:hint="eastAsia" w:cs="Arial" w:asciiTheme="minorEastAsia" w:hAnsiTheme="minorEastAsia" w:eastAsiaTheme="minorEastAsia"/>
                <w:sz w:val="24"/>
                <w:highlight w:val="none"/>
                <w:lang w:eastAsia="zh-CN"/>
              </w:rPr>
              <w:t>，</w:t>
            </w:r>
            <w:r>
              <w:rPr>
                <w:rFonts w:cs="Arial" w:asciiTheme="minorEastAsia" w:hAnsiTheme="minorEastAsia" w:eastAsiaTheme="minorEastAsia"/>
                <w:sz w:val="24"/>
                <w:highlight w:val="none"/>
              </w:rPr>
              <w:t>由于</w:t>
            </w:r>
            <w:r>
              <w:rPr>
                <w:rFonts w:hint="eastAsia" w:cs="Arial" w:asciiTheme="minorEastAsia" w:hAnsiTheme="minorEastAsia" w:eastAsiaTheme="minorEastAsia"/>
                <w:sz w:val="24"/>
                <w:highlight w:val="none"/>
              </w:rPr>
              <w:t>质量原因</w:t>
            </w:r>
            <w:r>
              <w:rPr>
                <w:rFonts w:hint="eastAsia" w:cs="Arial" w:asciiTheme="minorEastAsia" w:hAnsiTheme="minorEastAsia" w:eastAsiaTheme="minorEastAsia"/>
                <w:sz w:val="24"/>
                <w:highlight w:val="none"/>
                <w:lang w:val="en-US" w:eastAsia="zh-CN"/>
              </w:rPr>
              <w:t>损坏的</w:t>
            </w:r>
            <w:r>
              <w:rPr>
                <w:rFonts w:cs="Arial" w:asciiTheme="minorEastAsia" w:hAnsiTheme="minorEastAsia" w:eastAsiaTheme="minorEastAsia"/>
                <w:sz w:val="24"/>
                <w:highlight w:val="none"/>
              </w:rPr>
              <w:t>零部件</w:t>
            </w:r>
            <w:r>
              <w:rPr>
                <w:rFonts w:hint="eastAsia" w:cs="Arial" w:asciiTheme="minorEastAsia" w:hAnsiTheme="minorEastAsia" w:eastAsiaTheme="minorEastAsia"/>
                <w:sz w:val="24"/>
                <w:highlight w:val="none"/>
                <w:lang w:val="en-US" w:eastAsia="zh-CN"/>
              </w:rPr>
              <w:t>应</w:t>
            </w:r>
            <w:r>
              <w:rPr>
                <w:rFonts w:cs="Arial" w:asciiTheme="minorEastAsia" w:hAnsiTheme="minorEastAsia" w:eastAsiaTheme="minorEastAsia"/>
                <w:sz w:val="24"/>
                <w:highlight w:val="none"/>
              </w:rPr>
              <w:t>免费更换</w:t>
            </w:r>
            <w:r>
              <w:rPr>
                <w:rFonts w:hint="eastAsia" w:cs="Arial" w:asciiTheme="minorEastAsia" w:hAnsiTheme="minorEastAsia" w:eastAsiaTheme="minorEastAsia"/>
                <w:sz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1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乙方需</w:t>
            </w:r>
            <w:r>
              <w:rPr>
                <w:rFonts w:cs="Arial" w:asciiTheme="minorEastAsia" w:hAnsiTheme="minorEastAsia" w:eastAsiaTheme="minorEastAsia"/>
                <w:sz w:val="24"/>
              </w:rPr>
              <w:t>提供可满足一年设备运行需要的易损零部件及零部件清单（包括报价）。</w:t>
            </w:r>
          </w:p>
          <w:p>
            <w:pPr>
              <w:numPr>
                <w:ilvl w:val="0"/>
                <w:numId w:val="11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其他要求：无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URS17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供应商确认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供应商对URS各项目要求能否满足予以确认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URS18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节能环保要求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cs="Arial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☑无 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  <w:lang w:val="en-US" w:eastAsia="zh-CN"/>
              </w:rPr>
              <w:t>具体要求：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必须</w:t>
            </w:r>
          </w:p>
        </w:tc>
      </w:tr>
    </w:tbl>
    <w:p>
      <w:pPr>
        <w:rPr>
          <w:rFonts w:hint="eastAsia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78"/>
      <w:gridCol w:w="2249"/>
      <w:gridCol w:w="2448"/>
      <w:gridCol w:w="281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81" w:hRule="exact"/>
        <w:jc w:val="center"/>
      </w:trPr>
      <w:tc>
        <w:tcPr>
          <w:tcW w:w="1578" w:type="dxa"/>
          <w:vMerge w:val="restart"/>
          <w:tcBorders>
            <w:top w:val="single" w:color="auto" w:sz="12" w:space="0"/>
            <w:left w:val="single" w:color="auto" w:sz="12" w:space="0"/>
          </w:tcBorders>
        </w:tcPr>
        <w:p>
          <w:pPr>
            <w:ind w:firstLine="200"/>
            <w:rPr>
              <w:rFonts w:ascii="Arial" w:hAnsi="Arial" w:eastAsia="黑体" w:cs="Arial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183515</wp:posOffset>
                </wp:positionV>
                <wp:extent cx="904875" cy="1036320"/>
                <wp:effectExtent l="0" t="0" r="9525" b="11430"/>
                <wp:wrapNone/>
                <wp:docPr id="2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34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gridSpan w:val="3"/>
          <w:tcBorders>
            <w:top w:val="single" w:color="auto" w:sz="12" w:space="0"/>
            <w:right w:val="single" w:color="auto" w:sz="12" w:space="0"/>
          </w:tcBorders>
          <w:vAlign w:val="center"/>
        </w:tcPr>
        <w:p>
          <w:pPr>
            <w:jc w:val="center"/>
            <w:rPr>
              <w:rFonts w:ascii="宋体"/>
              <w:b/>
              <w:bCs/>
              <w:sz w:val="36"/>
              <w:szCs w:val="36"/>
            </w:rPr>
          </w:pPr>
          <w:r>
            <w:rPr>
              <w:rFonts w:hint="eastAsia" w:ascii="Arial" w:hAnsi="Arial" w:cs="Arial"/>
              <w:sz w:val="36"/>
              <w:szCs w:val="36"/>
              <w:highlight w:val="none"/>
              <w:lang w:val="en-US" w:eastAsia="zh-CN"/>
            </w:rPr>
            <w:t>全开式耙式真空干燥机</w:t>
          </w:r>
          <w:r>
            <w:rPr>
              <w:rFonts w:hint="eastAsia" w:ascii="Arial" w:hAnsi="Arial" w:cs="Arial"/>
              <w:sz w:val="36"/>
              <w:szCs w:val="36"/>
              <w:highlight w:val="none"/>
            </w:rPr>
            <w:t>用户需求</w:t>
          </w:r>
          <w:r>
            <w:rPr>
              <w:rFonts w:ascii="宋体" w:hAnsi="宋体" w:cs="Arial"/>
              <w:i/>
              <w:color w:val="000000"/>
              <w:sz w:val="36"/>
              <w:szCs w:val="36"/>
              <w:highlight w:val="none"/>
            </w:rPr>
            <w:t>（</w:t>
          </w:r>
          <w:r>
            <w:rPr>
              <w:rFonts w:hint="eastAsia" w:ascii="宋体" w:hAnsi="宋体" w:cs="Arial"/>
              <w:i/>
              <w:color w:val="000000"/>
              <w:sz w:val="36"/>
              <w:szCs w:val="36"/>
              <w:highlight w:val="none"/>
            </w:rPr>
            <w:t>设备</w:t>
          </w:r>
          <w:r>
            <w:rPr>
              <w:rFonts w:ascii="宋体" w:hAnsi="宋体" w:cs="Arial"/>
              <w:i/>
              <w:color w:val="000000"/>
              <w:sz w:val="36"/>
              <w:szCs w:val="36"/>
              <w:highlight w:val="none"/>
            </w:rPr>
            <w:t>）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1578" w:type="dxa"/>
          <w:vMerge w:val="continue"/>
          <w:tcBorders>
            <w:left w:val="single" w:color="auto" w:sz="12" w:space="0"/>
          </w:tcBorders>
        </w:tcPr>
        <w:p>
          <w:pPr>
            <w:spacing w:line="240" w:lineRule="exact"/>
            <w:ind w:firstLine="200"/>
            <w:jc w:val="center"/>
            <w:rPr>
              <w:rFonts w:ascii="Arial" w:hAnsi="Arial" w:eastAsia="黑体" w:cs="Arial"/>
              <w:spacing w:val="-20"/>
            </w:rPr>
          </w:pPr>
        </w:p>
      </w:tc>
      <w:tc>
        <w:tcPr>
          <w:tcW w:w="7513" w:type="dxa"/>
          <w:gridSpan w:val="3"/>
          <w:tcBorders>
            <w:right w:val="single" w:color="auto" w:sz="12" w:space="0"/>
          </w:tcBorders>
          <w:vAlign w:val="center"/>
        </w:tcPr>
        <w:p>
          <w:pPr>
            <w:ind w:right="-206" w:rightChars="-98" w:firstLine="200"/>
            <w:jc w:val="left"/>
            <w:rPr>
              <w:rFonts w:hint="default" w:ascii="黑体" w:hAnsi="宋体" w:eastAsia="宋体" w:cs="黑体"/>
              <w:sz w:val="24"/>
              <w:szCs w:val="24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</w:rPr>
            <w:t>编码：</w:t>
          </w:r>
          <w:r>
            <w:rPr>
              <w:rFonts w:ascii="宋体" w:hAnsi="宋体"/>
              <w:sz w:val="24"/>
              <w:szCs w:val="24"/>
            </w:rPr>
            <w:t>Q/DBZY</w:t>
          </w:r>
          <w:r>
            <w:rPr>
              <w:rFonts w:hint="eastAsia" w:ascii="宋体" w:hAnsi="宋体"/>
              <w:sz w:val="24"/>
              <w:szCs w:val="24"/>
            </w:rPr>
            <w:t>·</w:t>
          </w:r>
          <w:r>
            <w:rPr>
              <w:rFonts w:ascii="宋体" w:hAnsi="宋体"/>
              <w:sz w:val="24"/>
              <w:szCs w:val="24"/>
            </w:rPr>
            <w:t>014-G003-SB(</w:t>
          </w:r>
          <w:r>
            <w:rPr>
              <w:rFonts w:hint="eastAsia" w:ascii="宋体" w:hAnsi="宋体"/>
              <w:sz w:val="24"/>
              <w:szCs w:val="24"/>
              <w:lang w:val="en-US" w:eastAsia="zh-CN"/>
            </w:rPr>
            <w:t>205</w:t>
          </w:r>
          <w:r>
            <w:rPr>
              <w:rFonts w:ascii="宋体" w:hAnsi="宋体"/>
              <w:sz w:val="24"/>
              <w:szCs w:val="24"/>
            </w:rPr>
            <w:t>)-</w:t>
          </w:r>
          <w:r>
            <w:rPr>
              <w:rFonts w:hint="eastAsia" w:ascii="宋体" w:hAnsi="宋体"/>
              <w:sz w:val="24"/>
              <w:szCs w:val="24"/>
              <w:lang w:val="en-US" w:eastAsia="zh-CN"/>
            </w:rPr>
            <w:t>001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1578" w:type="dxa"/>
          <w:vMerge w:val="continue"/>
          <w:tcBorders>
            <w:left w:val="single" w:color="auto" w:sz="12" w:space="0"/>
            <w:bottom w:val="single" w:color="auto" w:sz="12" w:space="0"/>
          </w:tcBorders>
        </w:tcPr>
        <w:p>
          <w:pPr>
            <w:spacing w:line="240" w:lineRule="exact"/>
            <w:ind w:firstLine="200"/>
            <w:jc w:val="center"/>
            <w:rPr>
              <w:rFonts w:ascii="Arial" w:hAnsi="Arial" w:eastAsia="黑体" w:cs="Arial"/>
              <w:spacing w:val="-20"/>
            </w:rPr>
          </w:pPr>
        </w:p>
      </w:tc>
      <w:tc>
        <w:tcPr>
          <w:tcW w:w="2249" w:type="dxa"/>
          <w:tcBorders>
            <w:bottom w:val="single" w:color="auto" w:sz="12" w:space="0"/>
          </w:tcBorders>
          <w:vAlign w:val="center"/>
        </w:tcPr>
        <w:p>
          <w:pPr>
            <w:ind w:right="-206" w:rightChars="-98" w:firstLine="200"/>
            <w:rPr>
              <w:rFonts w:hint="default" w:ascii="黑体" w:hAnsi="宋体" w:eastAsia="宋体" w:cs="黑体"/>
              <w:sz w:val="24"/>
              <w:szCs w:val="24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</w:rPr>
            <w:t>版本号：</w:t>
          </w:r>
          <w:r>
            <w:rPr>
              <w:rFonts w:hint="eastAsia" w:ascii="Arial" w:hAnsi="Arial" w:eastAsia="黑体" w:cs="Arial"/>
              <w:sz w:val="24"/>
              <w:szCs w:val="24"/>
              <w:lang w:val="en-US" w:eastAsia="zh-CN"/>
            </w:rPr>
            <w:t>2024</w:t>
          </w:r>
        </w:p>
      </w:tc>
      <w:tc>
        <w:tcPr>
          <w:tcW w:w="2448" w:type="dxa"/>
          <w:tcBorders>
            <w:bottom w:val="single" w:color="auto" w:sz="12" w:space="0"/>
          </w:tcBorders>
          <w:vAlign w:val="center"/>
        </w:tcPr>
        <w:p>
          <w:pPr>
            <w:ind w:right="-206" w:rightChars="-98" w:firstLine="200"/>
            <w:jc w:val="left"/>
            <w:rPr>
              <w:rFonts w:hint="default" w:ascii="黑体" w:hAnsi="宋体" w:eastAsia="宋体" w:cs="黑体"/>
              <w:sz w:val="24"/>
              <w:szCs w:val="24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</w:rPr>
            <w:t>修订号：</w:t>
          </w:r>
          <w:r>
            <w:rPr>
              <w:rFonts w:hint="eastAsia" w:ascii="Arial" w:hAnsi="Arial" w:eastAsia="黑体" w:cs="Arial"/>
              <w:sz w:val="24"/>
              <w:szCs w:val="24"/>
              <w:lang w:val="en-US" w:eastAsia="zh-CN"/>
            </w:rPr>
            <w:t>00</w:t>
          </w:r>
        </w:p>
      </w:tc>
      <w:tc>
        <w:tcPr>
          <w:tcW w:w="2816" w:type="dxa"/>
          <w:tcBorders>
            <w:bottom w:val="single" w:color="auto" w:sz="12" w:space="0"/>
            <w:right w:val="single" w:color="auto" w:sz="12" w:space="0"/>
          </w:tcBorders>
          <w:vAlign w:val="center"/>
        </w:tcPr>
        <w:p>
          <w:pPr>
            <w:ind w:right="-206" w:rightChars="-98" w:firstLine="200"/>
            <w:rPr>
              <w:rFonts w:hint="eastAsia" w:ascii="宋体" w:eastAsia="黑体"/>
              <w:sz w:val="24"/>
              <w:szCs w:val="24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</w:rPr>
            <w:t>页号：</w:t>
          </w:r>
          <w:r>
            <w:rPr>
              <w:rFonts w:ascii="Arial" w:hAnsi="Arial" w:eastAsia="黑体" w:cs="Arial"/>
              <w:sz w:val="24"/>
              <w:szCs w:val="24"/>
            </w:rPr>
            <w:fldChar w:fldCharType="begin"/>
          </w:r>
          <w:r>
            <w:rPr>
              <w:rFonts w:ascii="Arial" w:hAnsi="Arial" w:eastAsia="黑体" w:cs="Arial"/>
              <w:sz w:val="24"/>
              <w:szCs w:val="24"/>
            </w:rPr>
            <w:instrText xml:space="preserve"> PAGE </w:instrText>
          </w:r>
          <w:r>
            <w:rPr>
              <w:rFonts w:ascii="Arial" w:hAnsi="Arial" w:eastAsia="黑体" w:cs="Arial"/>
              <w:sz w:val="24"/>
              <w:szCs w:val="24"/>
            </w:rPr>
            <w:fldChar w:fldCharType="separate"/>
          </w:r>
          <w:r>
            <w:rPr>
              <w:rFonts w:ascii="Arial" w:hAnsi="Arial" w:eastAsia="黑体" w:cs="Arial"/>
              <w:sz w:val="24"/>
              <w:szCs w:val="24"/>
            </w:rPr>
            <w:t>1</w:t>
          </w:r>
          <w:r>
            <w:rPr>
              <w:rFonts w:ascii="Arial" w:hAnsi="Arial" w:eastAsia="黑体" w:cs="Arial"/>
              <w:sz w:val="24"/>
              <w:szCs w:val="24"/>
            </w:rPr>
            <w:fldChar w:fldCharType="end"/>
          </w:r>
          <w:r>
            <w:rPr>
              <w:rFonts w:ascii="Arial" w:hAnsi="Arial" w:eastAsia="黑体" w:cs="Arial"/>
              <w:sz w:val="24"/>
              <w:szCs w:val="24"/>
              <w:lang w:val="zh-CN"/>
            </w:rPr>
            <w:t xml:space="preserve"> / </w:t>
          </w:r>
          <w:r>
            <w:rPr>
              <w:rFonts w:hint="eastAsia" w:ascii="Arial" w:hAnsi="Arial" w:eastAsia="黑体" w:cs="Arial"/>
              <w:sz w:val="24"/>
              <w:szCs w:val="24"/>
              <w:lang w:val="en-US" w:eastAsia="zh-CN"/>
            </w:rPr>
            <w:t>9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763F3"/>
    <w:multiLevelType w:val="singleLevel"/>
    <w:tmpl w:val="82E763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E33025"/>
    <w:multiLevelType w:val="singleLevel"/>
    <w:tmpl w:val="C3E330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8B3B87"/>
    <w:multiLevelType w:val="singleLevel"/>
    <w:tmpl w:val="F58B3B8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FA5BAF06"/>
    <w:multiLevelType w:val="singleLevel"/>
    <w:tmpl w:val="FA5BAF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AF5B4B7"/>
    <w:multiLevelType w:val="singleLevel"/>
    <w:tmpl w:val="FAF5B4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BAA68F9"/>
    <w:multiLevelType w:val="singleLevel"/>
    <w:tmpl w:val="FBAA68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F87E4E6"/>
    <w:multiLevelType w:val="singleLevel"/>
    <w:tmpl w:val="4F87E4E6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0F927BB"/>
    <w:multiLevelType w:val="singleLevel"/>
    <w:tmpl w:val="50F927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68EB7E5"/>
    <w:multiLevelType w:val="singleLevel"/>
    <w:tmpl w:val="568EB7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8ECC54"/>
    <w:multiLevelType w:val="singleLevel"/>
    <w:tmpl w:val="668ECC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A7F8D0B"/>
    <w:multiLevelType w:val="singleLevel"/>
    <w:tmpl w:val="6A7F8D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MzM1OGM3MDI3NWM5ZDJhMjY1ZjFjMjJlZGUzYmMifQ=="/>
  </w:docVars>
  <w:rsids>
    <w:rsidRoot w:val="00F14E42"/>
    <w:rsid w:val="002F5F3A"/>
    <w:rsid w:val="00423419"/>
    <w:rsid w:val="00933D7A"/>
    <w:rsid w:val="00943C4C"/>
    <w:rsid w:val="009A53B3"/>
    <w:rsid w:val="00A320AA"/>
    <w:rsid w:val="00B80C84"/>
    <w:rsid w:val="00B864F8"/>
    <w:rsid w:val="00CB540E"/>
    <w:rsid w:val="00CC1782"/>
    <w:rsid w:val="00F14E42"/>
    <w:rsid w:val="010B22B0"/>
    <w:rsid w:val="01AF70E0"/>
    <w:rsid w:val="01D36303"/>
    <w:rsid w:val="02900CBF"/>
    <w:rsid w:val="029D7241"/>
    <w:rsid w:val="03541B9B"/>
    <w:rsid w:val="03E44DB3"/>
    <w:rsid w:val="043164D2"/>
    <w:rsid w:val="04A33936"/>
    <w:rsid w:val="05D82321"/>
    <w:rsid w:val="06666C95"/>
    <w:rsid w:val="07EA70C4"/>
    <w:rsid w:val="0B655824"/>
    <w:rsid w:val="0B6F6DCF"/>
    <w:rsid w:val="0C6A2581"/>
    <w:rsid w:val="0CE05389"/>
    <w:rsid w:val="0F220B5F"/>
    <w:rsid w:val="0F3310BA"/>
    <w:rsid w:val="111807FE"/>
    <w:rsid w:val="11CA3638"/>
    <w:rsid w:val="12C30C3D"/>
    <w:rsid w:val="152F192A"/>
    <w:rsid w:val="17A050DA"/>
    <w:rsid w:val="17A9398E"/>
    <w:rsid w:val="18942586"/>
    <w:rsid w:val="18C748B7"/>
    <w:rsid w:val="19477F28"/>
    <w:rsid w:val="195F34C1"/>
    <w:rsid w:val="19E653A6"/>
    <w:rsid w:val="1AA966F7"/>
    <w:rsid w:val="1C837DA7"/>
    <w:rsid w:val="1CEB1C3E"/>
    <w:rsid w:val="1F02489B"/>
    <w:rsid w:val="214E5B76"/>
    <w:rsid w:val="21D73DBD"/>
    <w:rsid w:val="23404B76"/>
    <w:rsid w:val="25FD1C98"/>
    <w:rsid w:val="26CC5AA3"/>
    <w:rsid w:val="274C0668"/>
    <w:rsid w:val="28E57D82"/>
    <w:rsid w:val="2A765E79"/>
    <w:rsid w:val="2B54647E"/>
    <w:rsid w:val="2BE972C6"/>
    <w:rsid w:val="2BED617F"/>
    <w:rsid w:val="2D2B320F"/>
    <w:rsid w:val="2D4367AA"/>
    <w:rsid w:val="2D452523"/>
    <w:rsid w:val="2F9D3E3C"/>
    <w:rsid w:val="306409D7"/>
    <w:rsid w:val="310B248F"/>
    <w:rsid w:val="311741D6"/>
    <w:rsid w:val="319B6BB5"/>
    <w:rsid w:val="31DC6A5A"/>
    <w:rsid w:val="32AE1F29"/>
    <w:rsid w:val="32ED5211"/>
    <w:rsid w:val="337F51B7"/>
    <w:rsid w:val="33922AE4"/>
    <w:rsid w:val="339B1036"/>
    <w:rsid w:val="35DD75FE"/>
    <w:rsid w:val="36000D51"/>
    <w:rsid w:val="36B85B13"/>
    <w:rsid w:val="37E82428"/>
    <w:rsid w:val="3A5213A4"/>
    <w:rsid w:val="3AAD349A"/>
    <w:rsid w:val="3B015EF4"/>
    <w:rsid w:val="3D0C45D5"/>
    <w:rsid w:val="3D58678B"/>
    <w:rsid w:val="3DE6772F"/>
    <w:rsid w:val="3F3F325C"/>
    <w:rsid w:val="3FB853D3"/>
    <w:rsid w:val="3FE47979"/>
    <w:rsid w:val="411B527A"/>
    <w:rsid w:val="41CA0297"/>
    <w:rsid w:val="41FC39F9"/>
    <w:rsid w:val="43D9356D"/>
    <w:rsid w:val="44A065AE"/>
    <w:rsid w:val="44DF4BB3"/>
    <w:rsid w:val="45A43925"/>
    <w:rsid w:val="4674757D"/>
    <w:rsid w:val="468D2CCC"/>
    <w:rsid w:val="47153E31"/>
    <w:rsid w:val="474F52E2"/>
    <w:rsid w:val="4AE02989"/>
    <w:rsid w:val="4B27504B"/>
    <w:rsid w:val="4D1442A5"/>
    <w:rsid w:val="4E8A0689"/>
    <w:rsid w:val="4FFF7176"/>
    <w:rsid w:val="522C33E5"/>
    <w:rsid w:val="55526C4B"/>
    <w:rsid w:val="55E53997"/>
    <w:rsid w:val="56AE2637"/>
    <w:rsid w:val="57581A8E"/>
    <w:rsid w:val="57CE2008"/>
    <w:rsid w:val="58CB5722"/>
    <w:rsid w:val="595C6C43"/>
    <w:rsid w:val="5AAE032C"/>
    <w:rsid w:val="5AE81D0C"/>
    <w:rsid w:val="5BBC75A4"/>
    <w:rsid w:val="5CD55F69"/>
    <w:rsid w:val="5CF31AAB"/>
    <w:rsid w:val="5D657647"/>
    <w:rsid w:val="5D971497"/>
    <w:rsid w:val="5DCD5C22"/>
    <w:rsid w:val="5E36363E"/>
    <w:rsid w:val="5E50612D"/>
    <w:rsid w:val="5F845F11"/>
    <w:rsid w:val="5FB345DB"/>
    <w:rsid w:val="5FC544C5"/>
    <w:rsid w:val="61175CB2"/>
    <w:rsid w:val="61932B55"/>
    <w:rsid w:val="619B35BC"/>
    <w:rsid w:val="61B551CA"/>
    <w:rsid w:val="61C87ABB"/>
    <w:rsid w:val="61E133D3"/>
    <w:rsid w:val="620D6D13"/>
    <w:rsid w:val="6213243A"/>
    <w:rsid w:val="65EC34DF"/>
    <w:rsid w:val="66A03D4A"/>
    <w:rsid w:val="66DA6C4A"/>
    <w:rsid w:val="6825578F"/>
    <w:rsid w:val="6946308B"/>
    <w:rsid w:val="6A0B7B71"/>
    <w:rsid w:val="6A6576BE"/>
    <w:rsid w:val="6A6A4BD6"/>
    <w:rsid w:val="6B5F01ED"/>
    <w:rsid w:val="6B8250D2"/>
    <w:rsid w:val="6C354F35"/>
    <w:rsid w:val="6D6C3F7B"/>
    <w:rsid w:val="6E002F61"/>
    <w:rsid w:val="6E4A76D5"/>
    <w:rsid w:val="6EA75E92"/>
    <w:rsid w:val="6F7D5CCE"/>
    <w:rsid w:val="6FBB245E"/>
    <w:rsid w:val="7094113B"/>
    <w:rsid w:val="712E6CE2"/>
    <w:rsid w:val="714576F1"/>
    <w:rsid w:val="718576B9"/>
    <w:rsid w:val="72C14E1A"/>
    <w:rsid w:val="72F42517"/>
    <w:rsid w:val="73247AB1"/>
    <w:rsid w:val="753D14F5"/>
    <w:rsid w:val="755D54FC"/>
    <w:rsid w:val="75BE3EAE"/>
    <w:rsid w:val="77AE2B74"/>
    <w:rsid w:val="782A28D5"/>
    <w:rsid w:val="78376BBC"/>
    <w:rsid w:val="789D059A"/>
    <w:rsid w:val="7A281A90"/>
    <w:rsid w:val="7AEF4AB2"/>
    <w:rsid w:val="7B7B14DC"/>
    <w:rsid w:val="7BC43FB6"/>
    <w:rsid w:val="7C63567C"/>
    <w:rsid w:val="7D0322B9"/>
    <w:rsid w:val="7D5611EA"/>
    <w:rsid w:val="7DDC270B"/>
    <w:rsid w:val="7F1456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rPr>
      <w:szCs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autoRedefine/>
    <w:semiHidden/>
    <w:qFormat/>
    <w:uiPriority w:val="99"/>
    <w:rPr>
      <w:sz w:val="21"/>
      <w:szCs w:val="21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SecC"/>
    <w:autoRedefine/>
    <w:qFormat/>
    <w:uiPriority w:val="0"/>
    <w:pPr>
      <w:tabs>
        <w:tab w:val="left" w:pos="851"/>
        <w:tab w:val="left" w:pos="1701"/>
        <w:tab w:val="left" w:pos="2268"/>
        <w:tab w:val="left" w:pos="2835"/>
        <w:tab w:val="left" w:pos="4536"/>
        <w:tab w:val="left" w:pos="6237"/>
        <w:tab w:val="right" w:pos="8505"/>
      </w:tabs>
      <w:ind w:left="1701" w:hanging="1701"/>
    </w:pPr>
    <w:rPr>
      <w:rFonts w:ascii="Arial" w:hAnsi="Arial" w:eastAsia="宋体" w:cs="Times New Roman"/>
      <w:sz w:val="21"/>
      <w:szCs w:val="22"/>
      <w:lang w:val="en-GB" w:eastAsia="da-DK" w:bidi="ar-SA"/>
    </w:rPr>
  </w:style>
  <w:style w:type="paragraph" w:customStyle="1" w:styleId="12">
    <w:name w:val="Text"/>
    <w:basedOn w:val="1"/>
    <w:autoRedefine/>
    <w:qFormat/>
    <w:uiPriority w:val="99"/>
    <w:pPr>
      <w:spacing w:before="120"/>
      <w:jc w:val="both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2673</Words>
  <Characters>3002</Characters>
  <Lines>12</Lines>
  <Paragraphs>3</Paragraphs>
  <TotalTime>128</TotalTime>
  <ScaleCrop>false</ScaleCrop>
  <LinksUpToDate>false</LinksUpToDate>
  <CharactersWithSpaces>3006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2022-06-22T16:52:00Z</dcterms:created>
  <dc:creator>DY</dc:creator>
  <cp:lastModifiedBy>冰凉</cp:lastModifiedBy>
  <cp:lastPrinted>2022-11-08T07:37:00Z</cp:lastPrinted>
  <dcterms:modified xsi:type="dcterms:W3CDTF">2024-03-11T01:28:35Z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ECAA91C4F4B44A11B0C2829FC0C0E794_13</vt:lpwstr>
  </property>
</Properties>
</file>