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6F4F2">
      <w:pPr>
        <w:spacing w:after="240" w:line="560" w:lineRule="exact"/>
        <w:jc w:val="left"/>
        <w:rPr>
          <w:rFonts w:hint="eastAsia"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附件1：医用离心机校准装置技术要求</w:t>
      </w:r>
    </w:p>
    <w:tbl>
      <w:tblPr>
        <w:tblStyle w:val="18"/>
        <w:tblW w:w="892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3"/>
        <w:gridCol w:w="5985"/>
        <w:gridCol w:w="1418"/>
      </w:tblGrid>
      <w:tr w14:paraId="2642FF9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</w:tcPr>
          <w:p w14:paraId="0D25F589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编号</w:t>
            </w:r>
          </w:p>
        </w:tc>
        <w:tc>
          <w:tcPr>
            <w:tcW w:w="5985" w:type="dxa"/>
          </w:tcPr>
          <w:p w14:paraId="044935E1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要求内容</w:t>
            </w:r>
          </w:p>
        </w:tc>
        <w:tc>
          <w:tcPr>
            <w:tcW w:w="1418" w:type="dxa"/>
          </w:tcPr>
          <w:p w14:paraId="556F34A2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sz w:val="24"/>
                <w:szCs w:val="24"/>
              </w:rPr>
              <w:t>是否必须</w:t>
            </w:r>
          </w:p>
        </w:tc>
      </w:tr>
      <w:tr w14:paraId="105305B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26" w:type="dxa"/>
            <w:gridSpan w:val="3"/>
            <w:vAlign w:val="center"/>
          </w:tcPr>
          <w:p w14:paraId="72488958">
            <w:pPr>
              <w:spacing w:line="440" w:lineRule="exact"/>
              <w:jc w:val="left"/>
              <w:rPr>
                <w:rFonts w:eastAsiaTheme="minorEastAsia"/>
                <w:sz w:val="24"/>
                <w:szCs w:val="24"/>
              </w:rPr>
            </w:pPr>
            <w:r>
              <w:rPr>
                <w:rFonts w:hint="eastAsia" w:eastAsiaTheme="minorEastAsia"/>
                <w:sz w:val="24"/>
                <w:szCs w:val="24"/>
              </w:rPr>
              <w:t>转速测量模块</w:t>
            </w:r>
          </w:p>
        </w:tc>
      </w:tr>
      <w:tr w14:paraId="0D52BC7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6154C80F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URS001</w:t>
            </w:r>
          </w:p>
        </w:tc>
        <w:tc>
          <w:tcPr>
            <w:tcW w:w="5985" w:type="dxa"/>
          </w:tcPr>
          <w:p w14:paraId="347403E6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转速测量仪（具备同步计时功能）1套</w:t>
            </w:r>
            <w:r>
              <w:rPr>
                <w:rFonts w:eastAsiaTheme="minorEastAsia"/>
                <w:color w:val="auto"/>
                <w:sz w:val="24"/>
              </w:rPr>
              <w:t>：</w:t>
            </w:r>
          </w:p>
          <w:p w14:paraId="25CFD112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测量范围至少满足（20-16000）r/min。</w:t>
            </w:r>
          </w:p>
          <w:p w14:paraId="308ECE16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其中：</w:t>
            </w:r>
          </w:p>
          <w:p w14:paraId="605290A1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测量范围：20 r/min~10000 r/min，</w:t>
            </w:r>
            <w:bookmarkStart w:id="0" w:name="OLE_LINK2"/>
            <w:r>
              <w:rPr>
                <w:rFonts w:hint="eastAsia" w:eastAsiaTheme="minorEastAsia"/>
                <w:color w:val="auto"/>
                <w:sz w:val="24"/>
              </w:rPr>
              <w:t>≥</w:t>
            </w:r>
            <w:bookmarkEnd w:id="0"/>
            <w:r>
              <w:rPr>
                <w:rFonts w:hint="eastAsia" w:eastAsiaTheme="minorEastAsia"/>
                <w:color w:val="auto"/>
                <w:sz w:val="24"/>
              </w:rPr>
              <w:t>0.2级；</w:t>
            </w:r>
          </w:p>
          <w:p w14:paraId="010C6C2D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测量范围：≥10000 r/min，≥0.1级；</w:t>
            </w:r>
          </w:p>
          <w:p w14:paraId="4089A47E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计时误差：≤±0.1 s。</w:t>
            </w:r>
          </w:p>
        </w:tc>
        <w:tc>
          <w:tcPr>
            <w:tcW w:w="1418" w:type="dxa"/>
            <w:vAlign w:val="center"/>
          </w:tcPr>
          <w:p w14:paraId="68AB43BE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bookmarkStart w:id="1" w:name="OLE_LINK1"/>
            <w:r>
              <w:rPr>
                <w:rFonts w:eastAsiaTheme="minorEastAsia"/>
                <w:sz w:val="24"/>
                <w:szCs w:val="24"/>
              </w:rPr>
              <w:t>必须</w:t>
            </w:r>
            <w:bookmarkEnd w:id="1"/>
          </w:p>
        </w:tc>
      </w:tr>
      <w:tr w14:paraId="3AE1198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153145B7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URS002</w:t>
            </w:r>
          </w:p>
        </w:tc>
        <w:tc>
          <w:tcPr>
            <w:tcW w:w="5985" w:type="dxa"/>
          </w:tcPr>
          <w:p w14:paraId="65F51D47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有观察窗和无观察窗的离心机均能实现校准，并满足JJF2004-2022《医用离心机校准规范》要求。</w:t>
            </w:r>
          </w:p>
        </w:tc>
        <w:tc>
          <w:tcPr>
            <w:tcW w:w="1418" w:type="dxa"/>
            <w:vAlign w:val="center"/>
          </w:tcPr>
          <w:p w14:paraId="6F26B455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60393AA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26" w:type="dxa"/>
            <w:gridSpan w:val="3"/>
            <w:vAlign w:val="center"/>
          </w:tcPr>
          <w:p w14:paraId="156C4B46">
            <w:pPr>
              <w:spacing w:line="440" w:lineRule="exact"/>
              <w:rPr>
                <w:rFonts w:eastAsiaTheme="minorEastAsia"/>
                <w:sz w:val="24"/>
                <w:szCs w:val="24"/>
              </w:rPr>
            </w:pPr>
            <w:r>
              <w:rPr>
                <w:rFonts w:hint="eastAsia" w:eastAsiaTheme="minorEastAsia"/>
                <w:sz w:val="24"/>
                <w:szCs w:val="24"/>
              </w:rPr>
              <w:t>温度测量模块</w:t>
            </w:r>
          </w:p>
        </w:tc>
      </w:tr>
      <w:tr w14:paraId="4BE2285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4C6FC333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</w:t>
            </w:r>
            <w:r>
              <w:rPr>
                <w:rFonts w:hint="eastAsia" w:eastAsiaTheme="minorEastAsia"/>
                <w:sz w:val="24"/>
                <w:szCs w:val="24"/>
              </w:rPr>
              <w:t>3</w:t>
            </w:r>
          </w:p>
        </w:tc>
        <w:tc>
          <w:tcPr>
            <w:tcW w:w="5985" w:type="dxa"/>
          </w:tcPr>
          <w:p w14:paraId="2693F7CC">
            <w:pPr>
              <w:spacing w:line="360" w:lineRule="auto"/>
              <w:rPr>
                <w:rFonts w:eastAsiaTheme="minorEastAsia"/>
                <w:sz w:val="24"/>
              </w:rPr>
            </w:pPr>
            <w:r>
              <w:rPr>
                <w:rFonts w:hint="eastAsia" w:eastAsiaTheme="minorEastAsia"/>
                <w:sz w:val="24"/>
              </w:rPr>
              <w:t>温度测量仪（具备同步计时功能）4个</w:t>
            </w:r>
            <w:r>
              <w:rPr>
                <w:rFonts w:eastAsiaTheme="minorEastAsia"/>
                <w:sz w:val="24"/>
              </w:rPr>
              <w:t>：</w:t>
            </w:r>
          </w:p>
          <w:p w14:paraId="5536DD33">
            <w:pPr>
              <w:spacing w:line="360" w:lineRule="auto"/>
              <w:rPr>
                <w:rFonts w:eastAsiaTheme="minorEastAsia"/>
                <w:sz w:val="24"/>
              </w:rPr>
            </w:pPr>
            <w:r>
              <w:rPr>
                <w:rFonts w:hint="eastAsia" w:eastAsiaTheme="minorEastAsia"/>
                <w:sz w:val="24"/>
              </w:rPr>
              <w:t>测量范围至少满足（-30-80）℃</w:t>
            </w:r>
            <w:r>
              <w:rPr>
                <w:rFonts w:eastAsiaTheme="minorEastAsia"/>
                <w:sz w:val="24"/>
              </w:rPr>
              <w:t>。</w:t>
            </w:r>
          </w:p>
          <w:p w14:paraId="5B8D10DB">
            <w:pPr>
              <w:spacing w:line="360" w:lineRule="auto"/>
              <w:rPr>
                <w:rFonts w:eastAsiaTheme="minorEastAsia"/>
                <w:color w:val="auto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测量误差：≤±0.5 ℃；</w:t>
            </w:r>
          </w:p>
          <w:p w14:paraId="76A0615A">
            <w:pPr>
              <w:spacing w:line="360" w:lineRule="auto"/>
              <w:rPr>
                <w:rFonts w:eastAsiaTheme="minorEastAsia"/>
                <w:sz w:val="24"/>
              </w:rPr>
            </w:pPr>
            <w:r>
              <w:rPr>
                <w:rFonts w:hint="eastAsia" w:eastAsiaTheme="minorEastAsia"/>
                <w:color w:val="auto"/>
                <w:sz w:val="24"/>
              </w:rPr>
              <w:t>计时误差：≤±0.1 s。</w:t>
            </w:r>
          </w:p>
        </w:tc>
        <w:tc>
          <w:tcPr>
            <w:tcW w:w="1418" w:type="dxa"/>
            <w:vAlign w:val="center"/>
          </w:tcPr>
          <w:p w14:paraId="01C3B422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01A3E3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3EC3413A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</w:t>
            </w:r>
            <w:r>
              <w:rPr>
                <w:rFonts w:hint="eastAsia" w:eastAsiaTheme="minorEastAsia"/>
                <w:sz w:val="24"/>
                <w:szCs w:val="24"/>
              </w:rPr>
              <w:t>4</w:t>
            </w:r>
          </w:p>
        </w:tc>
        <w:tc>
          <w:tcPr>
            <w:tcW w:w="5985" w:type="dxa"/>
          </w:tcPr>
          <w:p w14:paraId="63AA3099">
            <w:pPr>
              <w:spacing w:line="360" w:lineRule="auto"/>
              <w:rPr>
                <w:rFonts w:eastAsiaTheme="minorEastAsia"/>
                <w:sz w:val="24"/>
              </w:rPr>
            </w:pPr>
            <w:r>
              <w:rPr>
                <w:rFonts w:eastAsiaTheme="minorEastAsia"/>
                <w:sz w:val="24"/>
              </w:rPr>
              <w:t>配备</w:t>
            </w:r>
            <w:r>
              <w:rPr>
                <w:rFonts w:hint="eastAsia" w:eastAsiaTheme="minorEastAsia"/>
                <w:sz w:val="24"/>
              </w:rPr>
              <w:t>无线</w:t>
            </w:r>
            <w:r>
              <w:rPr>
                <w:rFonts w:eastAsiaTheme="minorEastAsia"/>
                <w:sz w:val="24"/>
              </w:rPr>
              <w:t>温度传感器，感温元件外径尺寸应与常见离心管（瓶）的内径尺寸相适应，可直接放入离心腔进行温度测量</w:t>
            </w:r>
            <w:r>
              <w:rPr>
                <w:rFonts w:hint="eastAsia" w:eastAsiaTheme="minorEastAsia"/>
                <w:sz w:val="24"/>
              </w:rPr>
              <w:t>。</w:t>
            </w:r>
          </w:p>
        </w:tc>
        <w:tc>
          <w:tcPr>
            <w:tcW w:w="1418" w:type="dxa"/>
            <w:vAlign w:val="center"/>
          </w:tcPr>
          <w:p w14:paraId="13175851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637CBC4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5E0CCBC8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</w:t>
            </w:r>
            <w:r>
              <w:rPr>
                <w:rFonts w:hint="eastAsia" w:eastAsiaTheme="minorEastAsia"/>
                <w:sz w:val="24"/>
                <w:szCs w:val="24"/>
              </w:rPr>
              <w:t>5</w:t>
            </w:r>
          </w:p>
        </w:tc>
        <w:tc>
          <w:tcPr>
            <w:tcW w:w="5985" w:type="dxa"/>
            <w:vAlign w:val="center"/>
          </w:tcPr>
          <w:p w14:paraId="2BF29B50">
            <w:pPr>
              <w:spacing w:line="360" w:lineRule="auto"/>
              <w:rPr>
                <w:rFonts w:eastAsia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eastAsiaTheme="minorEastAsia"/>
                <w:color w:val="auto"/>
                <w:sz w:val="24"/>
                <w:highlight w:val="none"/>
              </w:rPr>
              <w:t>通讯方式：无线实时传输。</w:t>
            </w:r>
          </w:p>
        </w:tc>
        <w:tc>
          <w:tcPr>
            <w:tcW w:w="1418" w:type="dxa"/>
            <w:vAlign w:val="center"/>
          </w:tcPr>
          <w:p w14:paraId="153D15DF">
            <w:pPr>
              <w:spacing w:line="440" w:lineRule="exact"/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6C7BD97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26" w:type="dxa"/>
            <w:gridSpan w:val="3"/>
            <w:vAlign w:val="center"/>
          </w:tcPr>
          <w:p w14:paraId="16A63EAF">
            <w:pPr>
              <w:spacing w:line="440" w:lineRule="exact"/>
              <w:rPr>
                <w:rFonts w:eastAsiaTheme="minorEastAsia"/>
                <w:color w:val="auto"/>
                <w:sz w:val="24"/>
                <w:szCs w:val="24"/>
              </w:rPr>
            </w:pPr>
            <w:r>
              <w:rPr>
                <w:rFonts w:hint="eastAsia" w:eastAsiaTheme="minorEastAsia"/>
                <w:color w:val="auto"/>
                <w:sz w:val="24"/>
                <w:szCs w:val="24"/>
              </w:rPr>
              <w:t>其他</w:t>
            </w:r>
          </w:p>
        </w:tc>
      </w:tr>
      <w:tr w14:paraId="1CD7709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6A88BA3A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URS00</w:t>
            </w:r>
            <w:r>
              <w:rPr>
                <w:rFonts w:hint="eastAsia" w:eastAsiaTheme="minorEastAsia"/>
                <w:sz w:val="24"/>
                <w:szCs w:val="24"/>
              </w:rPr>
              <w:t>6</w:t>
            </w:r>
          </w:p>
        </w:tc>
        <w:tc>
          <w:tcPr>
            <w:tcW w:w="5985" w:type="dxa"/>
            <w:vAlign w:val="center"/>
          </w:tcPr>
          <w:p w14:paraId="27EDAA7C">
            <w:pPr>
              <w:spacing w:line="360" w:lineRule="auto"/>
              <w:rPr>
                <w:color w:val="auto"/>
                <w:sz w:val="24"/>
                <w:highlight w:val="none"/>
              </w:rPr>
            </w:pPr>
            <w:r>
              <w:rPr>
                <w:rFonts w:hint="eastAsia" w:eastAsia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可直接显示测量数据。</w:t>
            </w:r>
          </w:p>
        </w:tc>
        <w:tc>
          <w:tcPr>
            <w:tcW w:w="1418" w:type="dxa"/>
            <w:vAlign w:val="center"/>
          </w:tcPr>
          <w:p w14:paraId="5391C478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43E9FA4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1D9C527E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</w:t>
            </w:r>
            <w:r>
              <w:rPr>
                <w:rFonts w:hint="eastAsia" w:eastAsiaTheme="minorEastAsia"/>
                <w:sz w:val="24"/>
                <w:szCs w:val="24"/>
              </w:rPr>
              <w:t>07</w:t>
            </w:r>
          </w:p>
        </w:tc>
        <w:tc>
          <w:tcPr>
            <w:tcW w:w="5985" w:type="dxa"/>
            <w:vAlign w:val="center"/>
          </w:tcPr>
          <w:p w14:paraId="7D1842C4">
            <w:pPr>
              <w:spacing w:line="360" w:lineRule="auto"/>
              <w:rPr>
                <w:rFonts w:eastAsiaTheme="minorEastAsia"/>
                <w:color w:val="auto"/>
                <w:sz w:val="24"/>
                <w:szCs w:val="24"/>
                <w:highlight w:val="none"/>
              </w:rPr>
            </w:pPr>
            <w:r>
              <w:rPr>
                <w:rFonts w:eastAsiaTheme="minorEastAsia"/>
                <w:color w:val="auto"/>
                <w:sz w:val="24"/>
                <w:szCs w:val="24"/>
                <w:highlight w:val="none"/>
              </w:rPr>
              <w:t>具备数据自动记录功能，支持数据USB接口导出</w:t>
            </w:r>
            <w:r>
              <w:rPr>
                <w:rFonts w:hint="eastAsia" w:eastAsia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功能并</w:t>
            </w:r>
            <w:r>
              <w:rPr>
                <w:rFonts w:eastAsiaTheme="minorEastAsia"/>
                <w:color w:val="auto"/>
                <w:sz w:val="24"/>
                <w:szCs w:val="24"/>
                <w:highlight w:val="none"/>
              </w:rPr>
              <w:t>兼容常见办公软件。</w:t>
            </w:r>
            <w:bookmarkStart w:id="2" w:name="_GoBack"/>
            <w:bookmarkEnd w:id="2"/>
          </w:p>
        </w:tc>
        <w:tc>
          <w:tcPr>
            <w:tcW w:w="1418" w:type="dxa"/>
            <w:vAlign w:val="center"/>
          </w:tcPr>
          <w:p w14:paraId="2915D5F4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47302CD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675EFA9A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</w:t>
            </w:r>
            <w:r>
              <w:rPr>
                <w:rFonts w:hint="eastAsia" w:eastAsiaTheme="minorEastAsia"/>
                <w:sz w:val="24"/>
                <w:szCs w:val="24"/>
              </w:rPr>
              <w:t>08</w:t>
            </w:r>
          </w:p>
        </w:tc>
        <w:tc>
          <w:tcPr>
            <w:tcW w:w="5985" w:type="dxa"/>
            <w:vAlign w:val="center"/>
          </w:tcPr>
          <w:p w14:paraId="46CF1203">
            <w:pPr>
              <w:spacing w:line="360" w:lineRule="auto"/>
              <w:rPr>
                <w:color w:val="auto"/>
                <w:sz w:val="24"/>
              </w:rPr>
            </w:pPr>
            <w:r>
              <w:rPr>
                <w:rFonts w:hint="eastAsia"/>
                <w:color w:val="auto"/>
                <w:sz w:val="24"/>
              </w:rPr>
              <w:t>提供设备手册、说明书等相应软件。</w:t>
            </w:r>
          </w:p>
        </w:tc>
        <w:tc>
          <w:tcPr>
            <w:tcW w:w="1418" w:type="dxa"/>
            <w:vAlign w:val="center"/>
          </w:tcPr>
          <w:p w14:paraId="4C68D4BD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  <w:tr w14:paraId="34A160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23" w:type="dxa"/>
            <w:vAlign w:val="center"/>
          </w:tcPr>
          <w:p w14:paraId="73D18088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URS0</w:t>
            </w:r>
            <w:r>
              <w:rPr>
                <w:rFonts w:hint="eastAsia" w:eastAsiaTheme="minorEastAsia"/>
                <w:sz w:val="24"/>
                <w:szCs w:val="24"/>
              </w:rPr>
              <w:t>0</w:t>
            </w:r>
            <w:r>
              <w:rPr>
                <w:rFonts w:hint="eastAsia" w:eastAsiaTheme="minorEastAsia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5985" w:type="dxa"/>
            <w:vAlign w:val="center"/>
          </w:tcPr>
          <w:p w14:paraId="0D4ADBB6">
            <w:pPr>
              <w:spacing w:line="360" w:lineRule="auto"/>
              <w:rPr>
                <w:color w:val="auto"/>
                <w:sz w:val="24"/>
                <w:highlight w:val="none"/>
              </w:rPr>
            </w:pPr>
            <w:r>
              <w:rPr>
                <w:rFonts w:hint="eastAsia" w:eastAsiaTheme="minorEastAsia"/>
                <w:color w:val="auto"/>
                <w:sz w:val="24"/>
                <w:highlight w:val="none"/>
                <w:lang w:val="en-US" w:eastAsia="zh-CN"/>
              </w:rPr>
              <w:t>法定计量机构或CNAS认可的</w:t>
            </w:r>
            <w:r>
              <w:rPr>
                <w:rFonts w:hint="eastAsia" w:eastAsiaTheme="minorEastAsia"/>
                <w:color w:val="auto"/>
                <w:sz w:val="24"/>
                <w:highlight w:val="none"/>
              </w:rPr>
              <w:t>溯源证书1套。</w:t>
            </w:r>
          </w:p>
        </w:tc>
        <w:tc>
          <w:tcPr>
            <w:tcW w:w="1418" w:type="dxa"/>
            <w:vAlign w:val="center"/>
          </w:tcPr>
          <w:p w14:paraId="10FCF73E">
            <w:pPr>
              <w:spacing w:line="440" w:lineRule="exact"/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必须</w:t>
            </w:r>
          </w:p>
        </w:tc>
      </w:tr>
    </w:tbl>
    <w:p w14:paraId="2CF28E62">
      <w:pPr>
        <w:spacing w:line="440" w:lineRule="exact"/>
        <w:ind w:firstLine="480" w:firstLineChars="200"/>
        <w:rPr>
          <w:rFonts w:eastAsiaTheme="minorEastAsia"/>
          <w:sz w:val="24"/>
          <w:szCs w:val="24"/>
        </w:rPr>
      </w:pPr>
    </w:p>
    <w:sectPr>
      <w:pgSz w:w="11906" w:h="16838"/>
      <w:pgMar w:top="1588" w:right="1418" w:bottom="1588" w:left="1588" w:header="851" w:footer="1588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oNotHyphenateCaps/>
  <w:drawingGridHorizontalSpacing w:val="105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hmZWVlYjk4MzA2ZTc0N2E1MjUxNTY0NjQ5MjMwZDAifQ=="/>
  </w:docVars>
  <w:rsids>
    <w:rsidRoot w:val="00CB384A"/>
    <w:rsid w:val="00006425"/>
    <w:rsid w:val="00006748"/>
    <w:rsid w:val="00013D25"/>
    <w:rsid w:val="00013E03"/>
    <w:rsid w:val="00022BED"/>
    <w:rsid w:val="000256E8"/>
    <w:rsid w:val="00033377"/>
    <w:rsid w:val="0003620E"/>
    <w:rsid w:val="000470BA"/>
    <w:rsid w:val="00055A10"/>
    <w:rsid w:val="0006070E"/>
    <w:rsid w:val="00060A89"/>
    <w:rsid w:val="000712CF"/>
    <w:rsid w:val="00075F12"/>
    <w:rsid w:val="00077767"/>
    <w:rsid w:val="00081458"/>
    <w:rsid w:val="0008530A"/>
    <w:rsid w:val="000A1796"/>
    <w:rsid w:val="000A5217"/>
    <w:rsid w:val="000A6DEE"/>
    <w:rsid w:val="000B1531"/>
    <w:rsid w:val="000B48F7"/>
    <w:rsid w:val="000B5FBB"/>
    <w:rsid w:val="000C24E9"/>
    <w:rsid w:val="000C4B53"/>
    <w:rsid w:val="000C7FD4"/>
    <w:rsid w:val="000D3775"/>
    <w:rsid w:val="000D3AC6"/>
    <w:rsid w:val="000D4E51"/>
    <w:rsid w:val="000E2FDA"/>
    <w:rsid w:val="000E74A9"/>
    <w:rsid w:val="000F2150"/>
    <w:rsid w:val="000F223B"/>
    <w:rsid w:val="000F3E01"/>
    <w:rsid w:val="000F4D1D"/>
    <w:rsid w:val="0010358B"/>
    <w:rsid w:val="00115743"/>
    <w:rsid w:val="00116BB9"/>
    <w:rsid w:val="001248BD"/>
    <w:rsid w:val="00126668"/>
    <w:rsid w:val="001304D2"/>
    <w:rsid w:val="00132649"/>
    <w:rsid w:val="0013688E"/>
    <w:rsid w:val="00145210"/>
    <w:rsid w:val="00155351"/>
    <w:rsid w:val="00164CC1"/>
    <w:rsid w:val="001873EA"/>
    <w:rsid w:val="0019063D"/>
    <w:rsid w:val="0019094C"/>
    <w:rsid w:val="001948B8"/>
    <w:rsid w:val="00195169"/>
    <w:rsid w:val="001A3F20"/>
    <w:rsid w:val="001A6F8B"/>
    <w:rsid w:val="001B13BD"/>
    <w:rsid w:val="001B6EB7"/>
    <w:rsid w:val="001B7614"/>
    <w:rsid w:val="001B790E"/>
    <w:rsid w:val="001C679C"/>
    <w:rsid w:val="001C71E7"/>
    <w:rsid w:val="001E51E4"/>
    <w:rsid w:val="001F3707"/>
    <w:rsid w:val="00201EA6"/>
    <w:rsid w:val="002044BC"/>
    <w:rsid w:val="00213FBB"/>
    <w:rsid w:val="002157D2"/>
    <w:rsid w:val="00236785"/>
    <w:rsid w:val="00244011"/>
    <w:rsid w:val="00245116"/>
    <w:rsid w:val="00247155"/>
    <w:rsid w:val="00247B4A"/>
    <w:rsid w:val="00254D25"/>
    <w:rsid w:val="00261DA4"/>
    <w:rsid w:val="00264E4D"/>
    <w:rsid w:val="002702A3"/>
    <w:rsid w:val="0028102E"/>
    <w:rsid w:val="002A0650"/>
    <w:rsid w:val="002A326C"/>
    <w:rsid w:val="002B4306"/>
    <w:rsid w:val="002B5964"/>
    <w:rsid w:val="002C7AE8"/>
    <w:rsid w:val="002D2D1F"/>
    <w:rsid w:val="002D70BB"/>
    <w:rsid w:val="002E72A0"/>
    <w:rsid w:val="002E7435"/>
    <w:rsid w:val="002F4910"/>
    <w:rsid w:val="002F51F5"/>
    <w:rsid w:val="002F6CA7"/>
    <w:rsid w:val="002F7868"/>
    <w:rsid w:val="00305926"/>
    <w:rsid w:val="003117E6"/>
    <w:rsid w:val="00314CC0"/>
    <w:rsid w:val="00320ADF"/>
    <w:rsid w:val="00321274"/>
    <w:rsid w:val="00321632"/>
    <w:rsid w:val="00321899"/>
    <w:rsid w:val="00321B8E"/>
    <w:rsid w:val="00322128"/>
    <w:rsid w:val="00325356"/>
    <w:rsid w:val="00326DEE"/>
    <w:rsid w:val="0032719A"/>
    <w:rsid w:val="0033589D"/>
    <w:rsid w:val="00340496"/>
    <w:rsid w:val="00341642"/>
    <w:rsid w:val="0034224B"/>
    <w:rsid w:val="00344764"/>
    <w:rsid w:val="00345D13"/>
    <w:rsid w:val="00346645"/>
    <w:rsid w:val="003529AB"/>
    <w:rsid w:val="0035384C"/>
    <w:rsid w:val="00356876"/>
    <w:rsid w:val="00364183"/>
    <w:rsid w:val="00365D66"/>
    <w:rsid w:val="00371425"/>
    <w:rsid w:val="003731B6"/>
    <w:rsid w:val="00374D14"/>
    <w:rsid w:val="0039185F"/>
    <w:rsid w:val="003935D6"/>
    <w:rsid w:val="00393922"/>
    <w:rsid w:val="003A51E4"/>
    <w:rsid w:val="003A5AFA"/>
    <w:rsid w:val="003B1D67"/>
    <w:rsid w:val="003C0B79"/>
    <w:rsid w:val="003C4B92"/>
    <w:rsid w:val="003C66F8"/>
    <w:rsid w:val="003C7EA0"/>
    <w:rsid w:val="003D05F4"/>
    <w:rsid w:val="003D4C34"/>
    <w:rsid w:val="003D58FF"/>
    <w:rsid w:val="003E3420"/>
    <w:rsid w:val="003E5101"/>
    <w:rsid w:val="003F43ED"/>
    <w:rsid w:val="0040053F"/>
    <w:rsid w:val="00401FBC"/>
    <w:rsid w:val="00411E23"/>
    <w:rsid w:val="00412DB1"/>
    <w:rsid w:val="00416D1B"/>
    <w:rsid w:val="0043240D"/>
    <w:rsid w:val="00445503"/>
    <w:rsid w:val="004538F4"/>
    <w:rsid w:val="00456960"/>
    <w:rsid w:val="00457400"/>
    <w:rsid w:val="0046025C"/>
    <w:rsid w:val="004649F8"/>
    <w:rsid w:val="00470548"/>
    <w:rsid w:val="00471E49"/>
    <w:rsid w:val="00472444"/>
    <w:rsid w:val="00475C63"/>
    <w:rsid w:val="00476CB9"/>
    <w:rsid w:val="004770BA"/>
    <w:rsid w:val="0048063F"/>
    <w:rsid w:val="00480FE8"/>
    <w:rsid w:val="00481B17"/>
    <w:rsid w:val="00481C89"/>
    <w:rsid w:val="0048549A"/>
    <w:rsid w:val="0048553B"/>
    <w:rsid w:val="004855AD"/>
    <w:rsid w:val="00485850"/>
    <w:rsid w:val="004A4C4C"/>
    <w:rsid w:val="004A4C51"/>
    <w:rsid w:val="004B777B"/>
    <w:rsid w:val="004C3ACC"/>
    <w:rsid w:val="004C46A6"/>
    <w:rsid w:val="004E48F7"/>
    <w:rsid w:val="004F2103"/>
    <w:rsid w:val="004F6FAB"/>
    <w:rsid w:val="00502976"/>
    <w:rsid w:val="0052244E"/>
    <w:rsid w:val="00531A5D"/>
    <w:rsid w:val="0054559E"/>
    <w:rsid w:val="00547332"/>
    <w:rsid w:val="00553558"/>
    <w:rsid w:val="00584422"/>
    <w:rsid w:val="005846DC"/>
    <w:rsid w:val="005951C6"/>
    <w:rsid w:val="005A7C19"/>
    <w:rsid w:val="005B0D09"/>
    <w:rsid w:val="005C1D2F"/>
    <w:rsid w:val="005D0F32"/>
    <w:rsid w:val="005D3BA5"/>
    <w:rsid w:val="005D40AE"/>
    <w:rsid w:val="005D5142"/>
    <w:rsid w:val="005E08B8"/>
    <w:rsid w:val="005E12B4"/>
    <w:rsid w:val="005E2C51"/>
    <w:rsid w:val="005F099B"/>
    <w:rsid w:val="005F3A34"/>
    <w:rsid w:val="005F3AA2"/>
    <w:rsid w:val="005F58A9"/>
    <w:rsid w:val="006013B0"/>
    <w:rsid w:val="006028FD"/>
    <w:rsid w:val="0060653B"/>
    <w:rsid w:val="00606A58"/>
    <w:rsid w:val="0062080A"/>
    <w:rsid w:val="00620BE8"/>
    <w:rsid w:val="0062186C"/>
    <w:rsid w:val="0062523D"/>
    <w:rsid w:val="0063099C"/>
    <w:rsid w:val="0063375A"/>
    <w:rsid w:val="00642BD9"/>
    <w:rsid w:val="00644069"/>
    <w:rsid w:val="00651A37"/>
    <w:rsid w:val="006556E4"/>
    <w:rsid w:val="006611F6"/>
    <w:rsid w:val="00661AA4"/>
    <w:rsid w:val="0066235E"/>
    <w:rsid w:val="0066711B"/>
    <w:rsid w:val="00667C2D"/>
    <w:rsid w:val="0067548A"/>
    <w:rsid w:val="006C037E"/>
    <w:rsid w:val="006C40F8"/>
    <w:rsid w:val="006D0906"/>
    <w:rsid w:val="006D24B7"/>
    <w:rsid w:val="006E04BB"/>
    <w:rsid w:val="006E1D75"/>
    <w:rsid w:val="006E2227"/>
    <w:rsid w:val="006E349A"/>
    <w:rsid w:val="006E68BE"/>
    <w:rsid w:val="0070475A"/>
    <w:rsid w:val="00713577"/>
    <w:rsid w:val="00713868"/>
    <w:rsid w:val="0071387C"/>
    <w:rsid w:val="00723632"/>
    <w:rsid w:val="00725943"/>
    <w:rsid w:val="00730D5D"/>
    <w:rsid w:val="007316E8"/>
    <w:rsid w:val="007348AE"/>
    <w:rsid w:val="00735BC6"/>
    <w:rsid w:val="0073798A"/>
    <w:rsid w:val="007458FE"/>
    <w:rsid w:val="0075471A"/>
    <w:rsid w:val="00763AF8"/>
    <w:rsid w:val="00765A2D"/>
    <w:rsid w:val="00776228"/>
    <w:rsid w:val="0078375B"/>
    <w:rsid w:val="00784507"/>
    <w:rsid w:val="00785AF8"/>
    <w:rsid w:val="00796A83"/>
    <w:rsid w:val="007A0AC3"/>
    <w:rsid w:val="007A4969"/>
    <w:rsid w:val="007A57B5"/>
    <w:rsid w:val="007B188F"/>
    <w:rsid w:val="007B4F65"/>
    <w:rsid w:val="007D1245"/>
    <w:rsid w:val="007D2430"/>
    <w:rsid w:val="007E0CE6"/>
    <w:rsid w:val="007E4307"/>
    <w:rsid w:val="007F0959"/>
    <w:rsid w:val="007F3722"/>
    <w:rsid w:val="007F3AEE"/>
    <w:rsid w:val="007F4D00"/>
    <w:rsid w:val="007F65DE"/>
    <w:rsid w:val="00800E25"/>
    <w:rsid w:val="00813FE3"/>
    <w:rsid w:val="008152F2"/>
    <w:rsid w:val="00823F06"/>
    <w:rsid w:val="0082491F"/>
    <w:rsid w:val="00825996"/>
    <w:rsid w:val="00827534"/>
    <w:rsid w:val="00827A05"/>
    <w:rsid w:val="00830785"/>
    <w:rsid w:val="00832EF4"/>
    <w:rsid w:val="00833FBE"/>
    <w:rsid w:val="008457E1"/>
    <w:rsid w:val="008537ED"/>
    <w:rsid w:val="0086140F"/>
    <w:rsid w:val="0087625B"/>
    <w:rsid w:val="00884661"/>
    <w:rsid w:val="00886601"/>
    <w:rsid w:val="0089572B"/>
    <w:rsid w:val="0089657F"/>
    <w:rsid w:val="00896EDD"/>
    <w:rsid w:val="008A3F59"/>
    <w:rsid w:val="008A4BFA"/>
    <w:rsid w:val="008A728B"/>
    <w:rsid w:val="008B0239"/>
    <w:rsid w:val="008B1510"/>
    <w:rsid w:val="008B2C71"/>
    <w:rsid w:val="008B44A7"/>
    <w:rsid w:val="008C2A3C"/>
    <w:rsid w:val="008C7206"/>
    <w:rsid w:val="008D3AA6"/>
    <w:rsid w:val="008D68CC"/>
    <w:rsid w:val="008E4840"/>
    <w:rsid w:val="008E5D6A"/>
    <w:rsid w:val="008F6720"/>
    <w:rsid w:val="00901CF5"/>
    <w:rsid w:val="009157CA"/>
    <w:rsid w:val="0092116C"/>
    <w:rsid w:val="00921B9C"/>
    <w:rsid w:val="00921CC0"/>
    <w:rsid w:val="009302B3"/>
    <w:rsid w:val="009329E2"/>
    <w:rsid w:val="00933DE1"/>
    <w:rsid w:val="0094101B"/>
    <w:rsid w:val="00947588"/>
    <w:rsid w:val="00960BEC"/>
    <w:rsid w:val="0096609A"/>
    <w:rsid w:val="00972381"/>
    <w:rsid w:val="0098347B"/>
    <w:rsid w:val="00985156"/>
    <w:rsid w:val="009858EF"/>
    <w:rsid w:val="0098774D"/>
    <w:rsid w:val="009A4D12"/>
    <w:rsid w:val="009A7B9C"/>
    <w:rsid w:val="009B1F3E"/>
    <w:rsid w:val="009C4756"/>
    <w:rsid w:val="009C52D0"/>
    <w:rsid w:val="009D2716"/>
    <w:rsid w:val="009D3C99"/>
    <w:rsid w:val="009D3CB5"/>
    <w:rsid w:val="009D7475"/>
    <w:rsid w:val="009E6D0C"/>
    <w:rsid w:val="009F1356"/>
    <w:rsid w:val="009F4B77"/>
    <w:rsid w:val="009F5AC1"/>
    <w:rsid w:val="009F6BD3"/>
    <w:rsid w:val="009F7D13"/>
    <w:rsid w:val="00A015D3"/>
    <w:rsid w:val="00A237AD"/>
    <w:rsid w:val="00A31B54"/>
    <w:rsid w:val="00A3465B"/>
    <w:rsid w:val="00A3797A"/>
    <w:rsid w:val="00A40132"/>
    <w:rsid w:val="00A41F12"/>
    <w:rsid w:val="00A42A20"/>
    <w:rsid w:val="00A52A3F"/>
    <w:rsid w:val="00A53DF5"/>
    <w:rsid w:val="00A64933"/>
    <w:rsid w:val="00A7471C"/>
    <w:rsid w:val="00A81B4F"/>
    <w:rsid w:val="00A85F97"/>
    <w:rsid w:val="00A9422F"/>
    <w:rsid w:val="00A94B75"/>
    <w:rsid w:val="00A96B8E"/>
    <w:rsid w:val="00AA312F"/>
    <w:rsid w:val="00AA7AD4"/>
    <w:rsid w:val="00AB0F43"/>
    <w:rsid w:val="00AC2BB2"/>
    <w:rsid w:val="00AE089B"/>
    <w:rsid w:val="00AE3DB5"/>
    <w:rsid w:val="00AE4DC3"/>
    <w:rsid w:val="00AE6615"/>
    <w:rsid w:val="00AF0015"/>
    <w:rsid w:val="00B01663"/>
    <w:rsid w:val="00B04B7C"/>
    <w:rsid w:val="00B07848"/>
    <w:rsid w:val="00B136E7"/>
    <w:rsid w:val="00B17AE0"/>
    <w:rsid w:val="00B2098E"/>
    <w:rsid w:val="00B27845"/>
    <w:rsid w:val="00B30945"/>
    <w:rsid w:val="00B366AE"/>
    <w:rsid w:val="00B369DC"/>
    <w:rsid w:val="00B475FC"/>
    <w:rsid w:val="00B55820"/>
    <w:rsid w:val="00B602A6"/>
    <w:rsid w:val="00B831D7"/>
    <w:rsid w:val="00B9542D"/>
    <w:rsid w:val="00BA0B74"/>
    <w:rsid w:val="00BA1958"/>
    <w:rsid w:val="00BA44FD"/>
    <w:rsid w:val="00BA4FA1"/>
    <w:rsid w:val="00BA5E72"/>
    <w:rsid w:val="00BB3F47"/>
    <w:rsid w:val="00BB69AE"/>
    <w:rsid w:val="00BC0DD4"/>
    <w:rsid w:val="00BC76EB"/>
    <w:rsid w:val="00BD0B0B"/>
    <w:rsid w:val="00BD4CA6"/>
    <w:rsid w:val="00BD4D88"/>
    <w:rsid w:val="00BD58B1"/>
    <w:rsid w:val="00BF6F7F"/>
    <w:rsid w:val="00C00DBB"/>
    <w:rsid w:val="00C118D9"/>
    <w:rsid w:val="00C1396A"/>
    <w:rsid w:val="00C17348"/>
    <w:rsid w:val="00C2039F"/>
    <w:rsid w:val="00C3265F"/>
    <w:rsid w:val="00C34BB6"/>
    <w:rsid w:val="00C37EB7"/>
    <w:rsid w:val="00C436A5"/>
    <w:rsid w:val="00C5125C"/>
    <w:rsid w:val="00C627EB"/>
    <w:rsid w:val="00C8454D"/>
    <w:rsid w:val="00C87814"/>
    <w:rsid w:val="00C915A1"/>
    <w:rsid w:val="00C97A97"/>
    <w:rsid w:val="00CA21C7"/>
    <w:rsid w:val="00CA3DC0"/>
    <w:rsid w:val="00CA6EE4"/>
    <w:rsid w:val="00CA7505"/>
    <w:rsid w:val="00CB1079"/>
    <w:rsid w:val="00CB384A"/>
    <w:rsid w:val="00CB55B7"/>
    <w:rsid w:val="00CC5914"/>
    <w:rsid w:val="00CD139B"/>
    <w:rsid w:val="00CE741D"/>
    <w:rsid w:val="00CF7F21"/>
    <w:rsid w:val="00D115B4"/>
    <w:rsid w:val="00D128BD"/>
    <w:rsid w:val="00D150C9"/>
    <w:rsid w:val="00D17852"/>
    <w:rsid w:val="00D22B42"/>
    <w:rsid w:val="00D22EFA"/>
    <w:rsid w:val="00D259CE"/>
    <w:rsid w:val="00D35069"/>
    <w:rsid w:val="00D455FA"/>
    <w:rsid w:val="00D46E40"/>
    <w:rsid w:val="00D47379"/>
    <w:rsid w:val="00D50413"/>
    <w:rsid w:val="00D570FE"/>
    <w:rsid w:val="00D72C4B"/>
    <w:rsid w:val="00D81100"/>
    <w:rsid w:val="00D826A0"/>
    <w:rsid w:val="00D904FC"/>
    <w:rsid w:val="00D97866"/>
    <w:rsid w:val="00DA1DA8"/>
    <w:rsid w:val="00DB6E5B"/>
    <w:rsid w:val="00DC1826"/>
    <w:rsid w:val="00DC1A3A"/>
    <w:rsid w:val="00DC3FC8"/>
    <w:rsid w:val="00DC4A0F"/>
    <w:rsid w:val="00DC5D2B"/>
    <w:rsid w:val="00DC6D84"/>
    <w:rsid w:val="00DD4CF4"/>
    <w:rsid w:val="00DE66C2"/>
    <w:rsid w:val="00DE6B70"/>
    <w:rsid w:val="00DF28BF"/>
    <w:rsid w:val="00DF7140"/>
    <w:rsid w:val="00E06789"/>
    <w:rsid w:val="00E11825"/>
    <w:rsid w:val="00E173DA"/>
    <w:rsid w:val="00E31546"/>
    <w:rsid w:val="00E32625"/>
    <w:rsid w:val="00E34CFC"/>
    <w:rsid w:val="00E40430"/>
    <w:rsid w:val="00E41259"/>
    <w:rsid w:val="00E4189A"/>
    <w:rsid w:val="00E4389D"/>
    <w:rsid w:val="00E46C23"/>
    <w:rsid w:val="00E46FD8"/>
    <w:rsid w:val="00E51DCF"/>
    <w:rsid w:val="00E62D91"/>
    <w:rsid w:val="00E73714"/>
    <w:rsid w:val="00E74CCE"/>
    <w:rsid w:val="00E759F5"/>
    <w:rsid w:val="00E821A9"/>
    <w:rsid w:val="00E876A2"/>
    <w:rsid w:val="00E92595"/>
    <w:rsid w:val="00EA2985"/>
    <w:rsid w:val="00EB4F4D"/>
    <w:rsid w:val="00EC2A88"/>
    <w:rsid w:val="00ED4217"/>
    <w:rsid w:val="00ED7411"/>
    <w:rsid w:val="00EE3554"/>
    <w:rsid w:val="00EE4957"/>
    <w:rsid w:val="00EE6821"/>
    <w:rsid w:val="00EE7B94"/>
    <w:rsid w:val="00F06575"/>
    <w:rsid w:val="00F10963"/>
    <w:rsid w:val="00F12ADF"/>
    <w:rsid w:val="00F12C96"/>
    <w:rsid w:val="00F20B35"/>
    <w:rsid w:val="00F22943"/>
    <w:rsid w:val="00F26C1B"/>
    <w:rsid w:val="00F31223"/>
    <w:rsid w:val="00F46AF0"/>
    <w:rsid w:val="00F4763D"/>
    <w:rsid w:val="00F5406F"/>
    <w:rsid w:val="00F554A6"/>
    <w:rsid w:val="00F60191"/>
    <w:rsid w:val="00F70DD8"/>
    <w:rsid w:val="00F75C97"/>
    <w:rsid w:val="00F769B5"/>
    <w:rsid w:val="00F7734E"/>
    <w:rsid w:val="00F82CA1"/>
    <w:rsid w:val="00FA2F36"/>
    <w:rsid w:val="00FA6573"/>
    <w:rsid w:val="00FB5E89"/>
    <w:rsid w:val="00FE2DE8"/>
    <w:rsid w:val="00FF4242"/>
    <w:rsid w:val="00FF5D6C"/>
    <w:rsid w:val="041A2F36"/>
    <w:rsid w:val="112707F5"/>
    <w:rsid w:val="129D6767"/>
    <w:rsid w:val="1376097F"/>
    <w:rsid w:val="141E6A88"/>
    <w:rsid w:val="1548456E"/>
    <w:rsid w:val="181B02FA"/>
    <w:rsid w:val="1D197650"/>
    <w:rsid w:val="1F132604"/>
    <w:rsid w:val="20DF370C"/>
    <w:rsid w:val="22370462"/>
    <w:rsid w:val="23B1097D"/>
    <w:rsid w:val="254525B3"/>
    <w:rsid w:val="260577C4"/>
    <w:rsid w:val="2FDC64F6"/>
    <w:rsid w:val="33CB31BD"/>
    <w:rsid w:val="37885BFB"/>
    <w:rsid w:val="3D4C6E83"/>
    <w:rsid w:val="3D900116"/>
    <w:rsid w:val="3E222C96"/>
    <w:rsid w:val="40341263"/>
    <w:rsid w:val="43E939BC"/>
    <w:rsid w:val="46215EE7"/>
    <w:rsid w:val="462A00B0"/>
    <w:rsid w:val="48534BC7"/>
    <w:rsid w:val="498661D0"/>
    <w:rsid w:val="49F37A59"/>
    <w:rsid w:val="4BDB2578"/>
    <w:rsid w:val="4D3F3055"/>
    <w:rsid w:val="4DCD56FF"/>
    <w:rsid w:val="4FAB0176"/>
    <w:rsid w:val="53A002ED"/>
    <w:rsid w:val="53BD3694"/>
    <w:rsid w:val="54D8683E"/>
    <w:rsid w:val="55830861"/>
    <w:rsid w:val="57DF4840"/>
    <w:rsid w:val="5CD857EF"/>
    <w:rsid w:val="5EFE06D1"/>
    <w:rsid w:val="63A70B3A"/>
    <w:rsid w:val="65D84DC7"/>
    <w:rsid w:val="663E26DF"/>
    <w:rsid w:val="67C9107F"/>
    <w:rsid w:val="6A8D3C4A"/>
    <w:rsid w:val="6B9631D7"/>
    <w:rsid w:val="6DB34672"/>
    <w:rsid w:val="6F2E5CC6"/>
    <w:rsid w:val="70A30882"/>
    <w:rsid w:val="70A94243"/>
    <w:rsid w:val="716E42C7"/>
    <w:rsid w:val="76B5415C"/>
    <w:rsid w:val="77593A61"/>
    <w:rsid w:val="780E4825"/>
    <w:rsid w:val="799D004B"/>
    <w:rsid w:val="7DAA377C"/>
    <w:rsid w:val="7E496809"/>
    <w:rsid w:val="7FA60BB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0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qFormat="1"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iPriority="0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qFormat="1" w:unhideWhenUsed="0" w:uiPriority="0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0"/>
    <w:qFormat/>
    <w:locked/>
    <w:uiPriority w:val="0"/>
    <w:pPr>
      <w:keepNext/>
      <w:widowControl/>
      <w:tabs>
        <w:tab w:val="left" w:pos="720"/>
      </w:tabs>
      <w:spacing w:before="80" w:after="80"/>
      <w:ind w:left="360" w:right="446" w:hanging="360"/>
      <w:jc w:val="left"/>
      <w:outlineLvl w:val="0"/>
    </w:pPr>
    <w:rPr>
      <w:b/>
      <w:kern w:val="0"/>
      <w:sz w:val="28"/>
      <w:szCs w:val="20"/>
      <w:lang w:val="en-GB" w:eastAsia="en-US"/>
    </w:rPr>
  </w:style>
  <w:style w:type="paragraph" w:styleId="3">
    <w:name w:val="heading 2"/>
    <w:basedOn w:val="4"/>
    <w:next w:val="1"/>
    <w:link w:val="31"/>
    <w:qFormat/>
    <w:locked/>
    <w:uiPriority w:val="0"/>
    <w:pPr>
      <w:keepNext/>
      <w:widowControl/>
      <w:tabs>
        <w:tab w:val="left" w:pos="576"/>
      </w:tabs>
      <w:spacing w:before="100" w:beforeAutospacing="1" w:after="100" w:afterAutospacing="1"/>
      <w:ind w:left="0" w:leftChars="0" w:hanging="420"/>
      <w:outlineLvl w:val="1"/>
    </w:pPr>
    <w:rPr>
      <w:b/>
      <w:smallCaps/>
      <w:kern w:val="0"/>
      <w:sz w:val="24"/>
      <w:szCs w:val="20"/>
      <w:lang w:val="de-DE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2"/>
    <w:basedOn w:val="1"/>
    <w:next w:val="1"/>
    <w:qFormat/>
    <w:locked/>
    <w:uiPriority w:val="0"/>
    <w:pPr>
      <w:ind w:left="420" w:leftChars="200"/>
    </w:pPr>
  </w:style>
  <w:style w:type="paragraph" w:styleId="5">
    <w:name w:val="caption"/>
    <w:basedOn w:val="1"/>
    <w:next w:val="1"/>
    <w:qFormat/>
    <w:locked/>
    <w:uiPriority w:val="0"/>
    <w:pPr>
      <w:widowControl/>
      <w:jc w:val="center"/>
    </w:pPr>
    <w:rPr>
      <w:rFonts w:ascii="Arial" w:hAnsi="Arial"/>
      <w:b/>
      <w:kern w:val="0"/>
      <w:sz w:val="24"/>
      <w:szCs w:val="20"/>
      <w:lang w:val="en-GB" w:eastAsia="de-DE"/>
    </w:rPr>
  </w:style>
  <w:style w:type="paragraph" w:styleId="6">
    <w:name w:val="annotation text"/>
    <w:basedOn w:val="1"/>
    <w:link w:val="32"/>
    <w:qFormat/>
    <w:uiPriority w:val="0"/>
    <w:pPr>
      <w:widowControl/>
      <w:jc w:val="left"/>
    </w:pPr>
    <w:rPr>
      <w:kern w:val="0"/>
      <w:sz w:val="24"/>
      <w:szCs w:val="20"/>
      <w:lang w:eastAsia="en-US"/>
    </w:rPr>
  </w:style>
  <w:style w:type="paragraph" w:styleId="7">
    <w:name w:val="Block Text"/>
    <w:basedOn w:val="1"/>
    <w:qFormat/>
    <w:uiPriority w:val="0"/>
    <w:pPr>
      <w:widowControl/>
      <w:ind w:left="-90" w:right="-108"/>
    </w:pPr>
    <w:rPr>
      <w:kern w:val="0"/>
      <w:sz w:val="22"/>
      <w:szCs w:val="20"/>
      <w:lang w:val="en-GB" w:eastAsia="en-US"/>
    </w:rPr>
  </w:style>
  <w:style w:type="paragraph" w:styleId="8">
    <w:name w:val="Date"/>
    <w:basedOn w:val="1"/>
    <w:next w:val="1"/>
    <w:link w:val="23"/>
    <w:qFormat/>
    <w:uiPriority w:val="99"/>
    <w:pPr>
      <w:ind w:left="100" w:leftChars="2500"/>
    </w:pPr>
  </w:style>
  <w:style w:type="paragraph" w:styleId="9">
    <w:name w:val="endnote text"/>
    <w:basedOn w:val="1"/>
    <w:link w:val="33"/>
    <w:qFormat/>
    <w:uiPriority w:val="0"/>
    <w:pPr>
      <w:widowControl/>
      <w:jc w:val="left"/>
    </w:pPr>
    <w:rPr>
      <w:rFonts w:ascii="Arial" w:hAnsi="Arial"/>
      <w:kern w:val="0"/>
      <w:sz w:val="20"/>
      <w:szCs w:val="20"/>
      <w:lang w:eastAsia="en-US"/>
    </w:rPr>
  </w:style>
  <w:style w:type="paragraph" w:styleId="10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4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note text"/>
    <w:basedOn w:val="1"/>
    <w:link w:val="37"/>
    <w:qFormat/>
    <w:uiPriority w:val="0"/>
    <w:pPr>
      <w:widowControl/>
      <w:jc w:val="left"/>
    </w:pPr>
    <w:rPr>
      <w:rFonts w:ascii="Arial" w:hAnsi="Arial"/>
      <w:kern w:val="0"/>
      <w:sz w:val="20"/>
      <w:szCs w:val="20"/>
      <w:lang w:eastAsia="en-US"/>
    </w:rPr>
  </w:style>
  <w:style w:type="paragraph" w:styleId="14">
    <w:name w:val="Body Text 2"/>
    <w:basedOn w:val="1"/>
    <w:link w:val="35"/>
    <w:qFormat/>
    <w:uiPriority w:val="0"/>
    <w:pPr>
      <w:widowControl/>
      <w:spacing w:before="100" w:beforeAutospacing="1" w:after="100" w:afterAutospacing="1"/>
    </w:pPr>
    <w:rPr>
      <w:rFonts w:ascii="Arial" w:hAnsi="Arial"/>
      <w:i/>
      <w:kern w:val="0"/>
      <w:sz w:val="22"/>
      <w:szCs w:val="20"/>
      <w:lang w:val="en-GB" w:eastAsia="en-US"/>
    </w:rPr>
  </w:style>
  <w:style w:type="paragraph" w:styleId="1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6">
    <w:name w:val="Title"/>
    <w:basedOn w:val="1"/>
    <w:link w:val="29"/>
    <w:qFormat/>
    <w:locked/>
    <w:uiPriority w:val="0"/>
    <w:pPr>
      <w:spacing w:before="240" w:after="60"/>
      <w:outlineLvl w:val="0"/>
    </w:pPr>
    <w:rPr>
      <w:b/>
      <w:bCs/>
      <w:spacing w:val="20"/>
      <w:kern w:val="0"/>
      <w:sz w:val="28"/>
      <w:szCs w:val="28"/>
    </w:rPr>
  </w:style>
  <w:style w:type="table" w:styleId="18">
    <w:name w:val="Table Grid"/>
    <w:basedOn w:val="17"/>
    <w:qFormat/>
    <w:locked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20">
    <w:name w:val="Hyperlink"/>
    <w:qFormat/>
    <w:uiPriority w:val="99"/>
    <w:rPr>
      <w:color w:val="0000FF"/>
      <w:u w:val="single"/>
    </w:rPr>
  </w:style>
  <w:style w:type="character" w:styleId="21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2">
    <w:name w:val="页脚 字符"/>
    <w:link w:val="11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3">
    <w:name w:val="日期 字符"/>
    <w:link w:val="8"/>
    <w:qFormat/>
    <w:locked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24">
    <w:name w:val="页眉 字符"/>
    <w:link w:val="12"/>
    <w:qFormat/>
    <w:uiPriority w:val="99"/>
    <w:rPr>
      <w:rFonts w:ascii="Times New Roman" w:hAnsi="Times New Roman"/>
      <w:sz w:val="18"/>
      <w:szCs w:val="18"/>
    </w:rPr>
  </w:style>
  <w:style w:type="character" w:customStyle="1" w:styleId="25">
    <w:name w:val="批注框文本 字符"/>
    <w:link w:val="10"/>
    <w:semiHidden/>
    <w:qFormat/>
    <w:uiPriority w:val="99"/>
    <w:rPr>
      <w:rFonts w:ascii="Times New Roman" w:hAnsi="Times New Roman"/>
      <w:kern w:val="2"/>
      <w:sz w:val="18"/>
      <w:szCs w:val="18"/>
    </w:rPr>
  </w:style>
  <w:style w:type="paragraph" w:customStyle="1" w:styleId="26">
    <w:name w:val="列出段落1"/>
    <w:basedOn w:val="1"/>
    <w:qFormat/>
    <w:uiPriority w:val="0"/>
    <w:pPr>
      <w:spacing w:line="530" w:lineRule="exact"/>
      <w:ind w:firstLine="420" w:firstLineChars="200"/>
    </w:pPr>
    <w:rPr>
      <w:rFonts w:ascii="Calibri" w:hAnsi="Calibri"/>
      <w:bCs/>
      <w:color w:val="FF0000"/>
      <w:kern w:val="24"/>
      <w:sz w:val="24"/>
      <w:szCs w:val="24"/>
    </w:rPr>
  </w:style>
  <w:style w:type="paragraph" w:styleId="27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28">
    <w:name w:val="Tabelle"/>
    <w:basedOn w:val="1"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character" w:customStyle="1" w:styleId="29">
    <w:name w:val="标题 字符"/>
    <w:basedOn w:val="19"/>
    <w:link w:val="16"/>
    <w:qFormat/>
    <w:uiPriority w:val="0"/>
    <w:rPr>
      <w:rFonts w:ascii="Times New Roman" w:hAnsi="Times New Roman"/>
      <w:b/>
      <w:bCs/>
      <w:spacing w:val="20"/>
      <w:sz w:val="28"/>
      <w:szCs w:val="28"/>
    </w:rPr>
  </w:style>
  <w:style w:type="character" w:customStyle="1" w:styleId="30">
    <w:name w:val="标题 1 字符"/>
    <w:basedOn w:val="19"/>
    <w:link w:val="2"/>
    <w:qFormat/>
    <w:uiPriority w:val="0"/>
    <w:rPr>
      <w:rFonts w:ascii="Times New Roman" w:hAnsi="Times New Roman"/>
      <w:b/>
      <w:sz w:val="28"/>
      <w:lang w:val="en-GB" w:eastAsia="en-US"/>
    </w:rPr>
  </w:style>
  <w:style w:type="character" w:customStyle="1" w:styleId="31">
    <w:name w:val="标题 2 字符"/>
    <w:basedOn w:val="19"/>
    <w:link w:val="3"/>
    <w:qFormat/>
    <w:uiPriority w:val="0"/>
    <w:rPr>
      <w:rFonts w:ascii="Times New Roman" w:hAnsi="Times New Roman"/>
      <w:b/>
      <w:smallCaps/>
      <w:sz w:val="24"/>
      <w:lang w:val="de-DE"/>
    </w:rPr>
  </w:style>
  <w:style w:type="character" w:customStyle="1" w:styleId="32">
    <w:name w:val="批注文字 字符"/>
    <w:basedOn w:val="19"/>
    <w:link w:val="6"/>
    <w:qFormat/>
    <w:uiPriority w:val="0"/>
    <w:rPr>
      <w:rFonts w:ascii="Times New Roman" w:hAnsi="Times New Roman"/>
      <w:sz w:val="24"/>
      <w:lang w:eastAsia="en-US"/>
    </w:rPr>
  </w:style>
  <w:style w:type="character" w:customStyle="1" w:styleId="33">
    <w:name w:val="尾注文本 字符"/>
    <w:basedOn w:val="19"/>
    <w:link w:val="9"/>
    <w:qFormat/>
    <w:uiPriority w:val="0"/>
    <w:rPr>
      <w:rFonts w:ascii="Arial" w:hAnsi="Arial"/>
      <w:lang w:eastAsia="en-US"/>
    </w:rPr>
  </w:style>
  <w:style w:type="paragraph" w:customStyle="1" w:styleId="34">
    <w:name w:val="Titel2"/>
    <w:basedOn w:val="1"/>
    <w:qFormat/>
    <w:uiPriority w:val="0"/>
    <w:pPr>
      <w:widowControl/>
      <w:jc w:val="center"/>
    </w:pPr>
    <w:rPr>
      <w:rFonts w:ascii="Arial" w:hAnsi="Arial" w:cs="Arial"/>
      <w:snapToGrid w:val="0"/>
      <w:kern w:val="0"/>
      <w:sz w:val="44"/>
      <w:szCs w:val="22"/>
      <w:lang w:val="en-GB" w:eastAsia="de-DE"/>
    </w:rPr>
  </w:style>
  <w:style w:type="character" w:customStyle="1" w:styleId="35">
    <w:name w:val="正文文本 2 字符"/>
    <w:basedOn w:val="19"/>
    <w:link w:val="14"/>
    <w:qFormat/>
    <w:uiPriority w:val="0"/>
    <w:rPr>
      <w:rFonts w:ascii="Arial" w:hAnsi="Arial"/>
      <w:i/>
      <w:sz w:val="22"/>
      <w:lang w:val="en-GB" w:eastAsia="en-US"/>
    </w:rPr>
  </w:style>
  <w:style w:type="paragraph" w:customStyle="1" w:styleId="36">
    <w:name w:val="Char2"/>
    <w:basedOn w:val="1"/>
    <w:qFormat/>
    <w:uiPriority w:val="0"/>
    <w:pPr>
      <w:widowControl/>
      <w:spacing w:line="400" w:lineRule="exact"/>
      <w:jc w:val="center"/>
    </w:pPr>
    <w:rPr>
      <w:rFonts w:ascii="Arial" w:hAnsi="Arial"/>
      <w:kern w:val="0"/>
      <w:sz w:val="22"/>
      <w:szCs w:val="24"/>
      <w:lang w:eastAsia="en-US"/>
    </w:rPr>
  </w:style>
  <w:style w:type="character" w:customStyle="1" w:styleId="37">
    <w:name w:val="脚注文本 字符"/>
    <w:basedOn w:val="19"/>
    <w:link w:val="13"/>
    <w:qFormat/>
    <w:uiPriority w:val="0"/>
    <w:rPr>
      <w:rFonts w:ascii="Arial" w:hAnsi="Arial"/>
      <w:lang w:eastAsia="en-US"/>
    </w:rPr>
  </w:style>
  <w:style w:type="paragraph" w:customStyle="1" w:styleId="38">
    <w:name w:val="Heading Left"/>
    <w:basedOn w:val="1"/>
    <w:qFormat/>
    <w:uiPriority w:val="0"/>
    <w:pPr>
      <w:widowControl/>
      <w:tabs>
        <w:tab w:val="center" w:pos="4820"/>
        <w:tab w:val="right" w:pos="9639"/>
      </w:tabs>
      <w:spacing w:before="120" w:after="120"/>
      <w:jc w:val="left"/>
    </w:pPr>
    <w:rPr>
      <w:rFonts w:ascii="Arial" w:hAnsi="Arial"/>
      <w:b/>
      <w:caps/>
      <w:kern w:val="0"/>
      <w:sz w:val="24"/>
      <w:szCs w:val="20"/>
      <w:lang w:val="en-GB" w:eastAsia="en-US"/>
    </w:rPr>
  </w:style>
  <w:style w:type="paragraph" w:customStyle="1" w:styleId="39">
    <w:name w:val="Titel3"/>
    <w:basedOn w:val="1"/>
    <w:qFormat/>
    <w:uiPriority w:val="0"/>
    <w:pPr>
      <w:widowControl/>
      <w:jc w:val="left"/>
    </w:pPr>
    <w:rPr>
      <w:rFonts w:ascii="Arial" w:hAnsi="Arial" w:cs="Arial"/>
      <w:b/>
      <w:snapToGrid w:val="0"/>
      <w:kern w:val="0"/>
      <w:sz w:val="22"/>
      <w:szCs w:val="22"/>
      <w:lang w:val="en-GB" w:eastAsia="de-DE"/>
    </w:rPr>
  </w:style>
  <w:style w:type="paragraph" w:customStyle="1" w:styleId="40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85C5F-979C-4E66-BDCE-BCAC3322EB8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354</Words>
  <Characters>459</Characters>
  <Lines>3</Lines>
  <Paragraphs>1</Paragraphs>
  <TotalTime>0</TotalTime>
  <ScaleCrop>false</ScaleCrop>
  <LinksUpToDate>false</LinksUpToDate>
  <CharactersWithSpaces>465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2026-02-06T05:40:00Z</dcterms:created>
  <dc:creator>微软用户</dc:creator>
  <cp:lastModifiedBy>Aaa！！瑶老板</cp:lastModifiedBy>
  <cp:lastPrinted>2019-05-31T02:19:00Z</cp:lastPrinted>
  <dcterms:modified xsi:type="dcterms:W3CDTF">2026-02-14T03:58:18Z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AE2C0FB027E54F47AF4D57573BEFC221</vt:lpwstr>
  </property>
  <property fmtid="{D5CDD505-2E9C-101B-9397-08002B2CF9AE}" pid="4" name="KSOTemplateDocerSaveRecord">
    <vt:lpwstr>eyJoZGlkIjoiMTJhMTlhYWQ0Yjc2ZTkyOWY5ODk0ZDg3NzBiN2I5NDEiLCJ1c2VySWQiOiIyNTk2ODQzNjMifQ==</vt:lpwstr>
  </property>
</Properties>
</file>