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B19F7F5">
      <w:pPr>
        <w:tabs>
          <w:tab w:val="left" w:pos="423"/>
        </w:tabs>
        <w:bidi w:val="0"/>
        <w:jc w:val="left"/>
        <w:rPr>
          <w:rFonts w:hint="default"/>
          <w:lang w:val="en-US" w:eastAsia="zh-CN"/>
        </w:rPr>
      </w:pPr>
    </w:p>
    <w:p w14:paraId="507F06FD">
      <w:pPr>
        <w:bidi w:val="0"/>
        <w:rPr>
          <w:rFonts w:hint="default" w:asciiTheme="minorHAnsi" w:hAnsiTheme="minorHAnsi" w:eastAsiaTheme="minorEastAsia" w:cstheme="minorBidi"/>
          <w:kern w:val="2"/>
          <w:sz w:val="21"/>
          <w:szCs w:val="21"/>
          <w:lang w:val="en-US" w:eastAsia="zh-CN" w:bidi="ar-SA"/>
        </w:rPr>
      </w:pPr>
    </w:p>
    <w:p w14:paraId="35E2345A">
      <w:pPr>
        <w:keepNext w:val="0"/>
        <w:keepLines w:val="0"/>
        <w:pageBreakBefore w:val="0"/>
        <w:widowControl w:val="0"/>
        <w:tabs>
          <w:tab w:val="left" w:pos="7513"/>
        </w:tabs>
        <w:kinsoku/>
        <w:wordWrap w:val="0"/>
        <w:overflowPunct/>
        <w:topLinePunct w:val="0"/>
        <w:autoSpaceDE/>
        <w:autoSpaceDN/>
        <w:bidi w:val="0"/>
        <w:adjustRightInd/>
        <w:snapToGrid w:val="0"/>
        <w:spacing w:line="500" w:lineRule="exact"/>
        <w:ind w:right="-88" w:rightChars="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附件：</w:t>
      </w:r>
    </w:p>
    <w:p w14:paraId="70E3A541">
      <w:pPr>
        <w:spacing w:line="480" w:lineRule="exact"/>
        <w:jc w:val="center"/>
        <w:textAlignment w:val="baseline"/>
        <w:rPr>
          <w:rFonts w:hint="eastAsia"/>
          <w:b/>
          <w:sz w:val="36"/>
          <w:szCs w:val="36"/>
        </w:rPr>
      </w:pPr>
    </w:p>
    <w:p w14:paraId="3AAA155C">
      <w:pPr>
        <w:spacing w:line="480" w:lineRule="exact"/>
        <w:jc w:val="center"/>
        <w:textAlignment w:val="baseline"/>
        <w:rPr>
          <w:rFonts w:hint="eastAsia"/>
          <w:b/>
          <w:sz w:val="36"/>
          <w:szCs w:val="36"/>
        </w:rPr>
      </w:pPr>
      <w:bookmarkStart w:id="0" w:name="_GoBack"/>
      <w:r>
        <w:rPr>
          <w:rFonts w:hint="eastAsia"/>
          <w:b/>
          <w:sz w:val="36"/>
          <w:szCs w:val="36"/>
        </w:rPr>
        <w:t>氢氧化钠采购质量标准</w:t>
      </w:r>
    </w:p>
    <w:bookmarkEnd w:id="0"/>
    <w:p w14:paraId="23A38D48">
      <w:pPr>
        <w:rPr>
          <w:rFonts w:hint="eastAsia" w:ascii="楷体_GB2312" w:eastAsia="楷体_GB2312"/>
          <w:b/>
          <w:color w:val="000000"/>
          <w:sz w:val="32"/>
          <w:szCs w:val="32"/>
        </w:rPr>
      </w:pPr>
    </w:p>
    <w:tbl>
      <w:tblPr>
        <w:tblStyle w:val="4"/>
        <w:tblW w:w="8845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500"/>
        <w:gridCol w:w="4345"/>
      </w:tblGrid>
      <w:tr w14:paraId="69E1DE6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2" w:hRule="atLeast"/>
        </w:trPr>
        <w:tc>
          <w:tcPr>
            <w:tcW w:w="4500" w:type="dxa"/>
            <w:noWrap w:val="0"/>
            <w:vAlign w:val="center"/>
          </w:tcPr>
          <w:p w14:paraId="629A3DD4">
            <w:pPr>
              <w:spacing w:line="480" w:lineRule="exact"/>
              <w:jc w:val="center"/>
              <w:textAlignment w:val="baseline"/>
              <w:rPr>
                <w:rFonts w:eastAsia="楷体"/>
                <w:sz w:val="28"/>
                <w:szCs w:val="28"/>
              </w:rPr>
            </w:pPr>
            <w:r>
              <w:rPr>
                <w:rFonts w:hAnsi="楷体" w:eastAsia="楷体"/>
                <w:b/>
                <w:sz w:val="28"/>
                <w:szCs w:val="28"/>
              </w:rPr>
              <w:t>检测项</w:t>
            </w:r>
          </w:p>
        </w:tc>
        <w:tc>
          <w:tcPr>
            <w:tcW w:w="4345" w:type="dxa"/>
            <w:noWrap w:val="0"/>
            <w:vAlign w:val="center"/>
          </w:tcPr>
          <w:p w14:paraId="3074AAAA">
            <w:pPr>
              <w:spacing w:line="480" w:lineRule="exact"/>
              <w:jc w:val="center"/>
              <w:textAlignment w:val="baseline"/>
              <w:rPr>
                <w:rFonts w:eastAsia="楷体"/>
                <w:sz w:val="28"/>
                <w:szCs w:val="28"/>
              </w:rPr>
            </w:pPr>
            <w:r>
              <w:rPr>
                <w:rFonts w:hAnsi="楷体" w:eastAsia="楷体"/>
                <w:b/>
                <w:sz w:val="28"/>
                <w:szCs w:val="28"/>
              </w:rPr>
              <w:t>标</w:t>
            </w:r>
            <w:r>
              <w:rPr>
                <w:rFonts w:eastAsia="楷体"/>
                <w:b/>
                <w:sz w:val="28"/>
                <w:szCs w:val="28"/>
              </w:rPr>
              <w:t xml:space="preserve"> </w:t>
            </w:r>
            <w:r>
              <w:rPr>
                <w:rFonts w:hAnsi="楷体" w:eastAsia="楷体"/>
                <w:b/>
                <w:sz w:val="28"/>
                <w:szCs w:val="28"/>
              </w:rPr>
              <w:t>准</w:t>
            </w:r>
          </w:p>
        </w:tc>
      </w:tr>
      <w:tr w14:paraId="05E4070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5" w:hRule="atLeast"/>
        </w:trPr>
        <w:tc>
          <w:tcPr>
            <w:tcW w:w="4500" w:type="dxa"/>
            <w:noWrap w:val="0"/>
            <w:vAlign w:val="center"/>
          </w:tcPr>
          <w:p w14:paraId="69E726AD">
            <w:pPr>
              <w:spacing w:line="480" w:lineRule="exact"/>
              <w:jc w:val="center"/>
              <w:textAlignment w:val="baseline"/>
              <w:rPr>
                <w:rFonts w:eastAsia="楷体"/>
                <w:sz w:val="28"/>
                <w:szCs w:val="28"/>
              </w:rPr>
            </w:pPr>
            <w:r>
              <w:rPr>
                <w:rFonts w:hAnsi="楷体" w:eastAsia="楷体"/>
                <w:sz w:val="28"/>
                <w:szCs w:val="28"/>
              </w:rPr>
              <w:t>外观</w:t>
            </w:r>
          </w:p>
        </w:tc>
        <w:tc>
          <w:tcPr>
            <w:tcW w:w="4345" w:type="dxa"/>
            <w:noWrap w:val="0"/>
            <w:vAlign w:val="center"/>
          </w:tcPr>
          <w:p w14:paraId="50F327F2">
            <w:pPr>
              <w:spacing w:line="480" w:lineRule="exact"/>
              <w:jc w:val="center"/>
              <w:textAlignment w:val="baseline"/>
              <w:rPr>
                <w:rFonts w:hint="default" w:eastAsia="楷体"/>
                <w:sz w:val="28"/>
                <w:szCs w:val="28"/>
                <w:lang w:val="en-US" w:eastAsia="zh-CN"/>
              </w:rPr>
            </w:pPr>
            <w:r>
              <w:rPr>
                <w:rFonts w:hAnsi="楷体" w:eastAsia="楷体"/>
                <w:sz w:val="28"/>
                <w:szCs w:val="28"/>
              </w:rPr>
              <w:t>固体，白色，有光泽，</w:t>
            </w:r>
            <w:r>
              <w:rPr>
                <w:rFonts w:hint="eastAsia" w:hAnsi="楷体" w:eastAsia="楷体"/>
                <w:sz w:val="28"/>
                <w:szCs w:val="28"/>
                <w:lang w:val="en-US" w:eastAsia="zh-CN"/>
              </w:rPr>
              <w:t>无结块。</w:t>
            </w:r>
          </w:p>
        </w:tc>
      </w:tr>
      <w:tr w14:paraId="7E26269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5" w:hRule="atLeast"/>
        </w:trPr>
        <w:tc>
          <w:tcPr>
            <w:tcW w:w="4500" w:type="dxa"/>
            <w:noWrap w:val="0"/>
            <w:vAlign w:val="center"/>
          </w:tcPr>
          <w:p w14:paraId="0A458BD1">
            <w:pPr>
              <w:spacing w:line="480" w:lineRule="exact"/>
              <w:jc w:val="center"/>
              <w:textAlignment w:val="baseline"/>
              <w:rPr>
                <w:rFonts w:eastAsia="楷体"/>
                <w:sz w:val="28"/>
                <w:szCs w:val="28"/>
              </w:rPr>
            </w:pPr>
            <w:r>
              <w:rPr>
                <w:rFonts w:hAnsi="楷体" w:eastAsia="楷体"/>
                <w:sz w:val="28"/>
                <w:szCs w:val="28"/>
              </w:rPr>
              <w:t>含量</w:t>
            </w:r>
          </w:p>
        </w:tc>
        <w:tc>
          <w:tcPr>
            <w:tcW w:w="4345" w:type="dxa"/>
            <w:noWrap w:val="0"/>
            <w:vAlign w:val="center"/>
          </w:tcPr>
          <w:p w14:paraId="48273028">
            <w:pPr>
              <w:spacing w:line="480" w:lineRule="exact"/>
              <w:jc w:val="center"/>
              <w:textAlignment w:val="baseline"/>
              <w:rPr>
                <w:rFonts w:eastAsia="楷体"/>
                <w:sz w:val="28"/>
                <w:szCs w:val="28"/>
              </w:rPr>
            </w:pPr>
            <w:r>
              <w:rPr>
                <w:rFonts w:eastAsia="楷体"/>
                <w:sz w:val="28"/>
                <w:szCs w:val="28"/>
              </w:rPr>
              <w:t>98.0-100.5%</w:t>
            </w:r>
          </w:p>
        </w:tc>
      </w:tr>
      <w:tr w14:paraId="3D00A04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5" w:hRule="atLeast"/>
        </w:trPr>
        <w:tc>
          <w:tcPr>
            <w:tcW w:w="4500" w:type="dxa"/>
            <w:noWrap w:val="0"/>
            <w:vAlign w:val="top"/>
          </w:tcPr>
          <w:p w14:paraId="68D1BCFB">
            <w:pPr>
              <w:spacing w:before="156" w:beforeLines="50" w:after="156" w:afterLines="50" w:line="480" w:lineRule="exact"/>
              <w:jc w:val="center"/>
              <w:textAlignment w:val="baseline"/>
              <w:rPr>
                <w:rFonts w:eastAsia="楷体"/>
                <w:sz w:val="28"/>
                <w:szCs w:val="28"/>
              </w:rPr>
            </w:pPr>
            <w:r>
              <w:rPr>
                <w:rFonts w:hAnsi="楷体" w:eastAsia="楷体"/>
                <w:sz w:val="28"/>
                <w:szCs w:val="28"/>
              </w:rPr>
              <w:t>碳酸钠</w:t>
            </w:r>
            <w:r>
              <w:rPr>
                <w:rFonts w:eastAsia="楷体"/>
                <w:sz w:val="28"/>
                <w:szCs w:val="28"/>
              </w:rPr>
              <w:t>(</w:t>
            </w:r>
            <w:r>
              <w:rPr>
                <w:rFonts w:hAnsi="楷体" w:eastAsia="楷体"/>
                <w:sz w:val="28"/>
                <w:szCs w:val="28"/>
              </w:rPr>
              <w:t>以</w:t>
            </w:r>
            <w:r>
              <w:rPr>
                <w:rFonts w:eastAsia="楷体"/>
                <w:sz w:val="28"/>
                <w:szCs w:val="28"/>
              </w:rPr>
              <w:t>Na</w:t>
            </w:r>
            <w:r>
              <w:rPr>
                <w:rFonts w:eastAsia="楷体"/>
                <w:sz w:val="28"/>
                <w:szCs w:val="28"/>
                <w:vertAlign w:val="subscript"/>
              </w:rPr>
              <w:t>2</w:t>
            </w:r>
            <w:r>
              <w:rPr>
                <w:rFonts w:eastAsia="楷体"/>
                <w:sz w:val="28"/>
                <w:szCs w:val="28"/>
              </w:rPr>
              <w:t>CO</w:t>
            </w:r>
            <w:r>
              <w:rPr>
                <w:rFonts w:eastAsia="楷体"/>
                <w:sz w:val="28"/>
                <w:szCs w:val="28"/>
                <w:vertAlign w:val="subscript"/>
              </w:rPr>
              <w:t>3</w:t>
            </w:r>
            <w:r>
              <w:rPr>
                <w:rFonts w:hAnsi="楷体" w:eastAsia="楷体"/>
                <w:sz w:val="28"/>
                <w:szCs w:val="28"/>
              </w:rPr>
              <w:t>计</w:t>
            </w:r>
            <w:r>
              <w:rPr>
                <w:rFonts w:eastAsia="楷体"/>
                <w:sz w:val="28"/>
                <w:szCs w:val="28"/>
              </w:rPr>
              <w:t>)</w:t>
            </w:r>
            <w:r>
              <w:rPr>
                <w:rFonts w:hAnsi="楷体" w:eastAsia="楷体"/>
                <w:sz w:val="28"/>
                <w:szCs w:val="28"/>
              </w:rPr>
              <w:t>的质量分数</w:t>
            </w:r>
          </w:p>
        </w:tc>
        <w:tc>
          <w:tcPr>
            <w:tcW w:w="4345" w:type="dxa"/>
            <w:noWrap w:val="0"/>
            <w:vAlign w:val="top"/>
          </w:tcPr>
          <w:p w14:paraId="1DAE2847">
            <w:pPr>
              <w:spacing w:before="156" w:beforeLines="50" w:after="156" w:afterLines="50" w:line="480" w:lineRule="exact"/>
              <w:jc w:val="center"/>
              <w:textAlignment w:val="baseline"/>
              <w:rPr>
                <w:rFonts w:eastAsia="楷体"/>
                <w:sz w:val="28"/>
                <w:szCs w:val="28"/>
              </w:rPr>
            </w:pPr>
            <w:r>
              <w:rPr>
                <w:rFonts w:eastAsia="楷体"/>
                <w:sz w:val="28"/>
                <w:szCs w:val="28"/>
              </w:rPr>
              <w:t>≤0.8%</w:t>
            </w:r>
          </w:p>
        </w:tc>
      </w:tr>
      <w:tr w14:paraId="68DCD09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5" w:hRule="atLeast"/>
        </w:trPr>
        <w:tc>
          <w:tcPr>
            <w:tcW w:w="4500" w:type="dxa"/>
            <w:noWrap w:val="0"/>
            <w:vAlign w:val="top"/>
          </w:tcPr>
          <w:p w14:paraId="6BE8BB58">
            <w:pPr>
              <w:spacing w:before="156" w:beforeLines="50" w:after="156" w:afterLines="50" w:line="480" w:lineRule="exact"/>
              <w:jc w:val="center"/>
              <w:textAlignment w:val="baseline"/>
              <w:rPr>
                <w:rFonts w:eastAsia="楷体"/>
                <w:sz w:val="28"/>
                <w:szCs w:val="28"/>
              </w:rPr>
            </w:pPr>
            <w:r>
              <w:rPr>
                <w:rFonts w:hAnsi="楷体" w:eastAsia="楷体"/>
                <w:sz w:val="28"/>
                <w:szCs w:val="28"/>
              </w:rPr>
              <w:t>氯化钠</w:t>
            </w:r>
            <w:r>
              <w:rPr>
                <w:rFonts w:eastAsia="楷体"/>
                <w:sz w:val="28"/>
                <w:szCs w:val="28"/>
              </w:rPr>
              <w:t>(</w:t>
            </w:r>
            <w:r>
              <w:rPr>
                <w:rFonts w:hAnsi="楷体" w:eastAsia="楷体"/>
                <w:sz w:val="28"/>
                <w:szCs w:val="28"/>
              </w:rPr>
              <w:t>以</w:t>
            </w:r>
            <w:r>
              <w:rPr>
                <w:rFonts w:eastAsia="楷体"/>
                <w:sz w:val="28"/>
                <w:szCs w:val="28"/>
              </w:rPr>
              <w:t>NaCl</w:t>
            </w:r>
            <w:r>
              <w:rPr>
                <w:rFonts w:hAnsi="楷体" w:eastAsia="楷体"/>
                <w:sz w:val="28"/>
                <w:szCs w:val="28"/>
              </w:rPr>
              <w:t>计</w:t>
            </w:r>
            <w:r>
              <w:rPr>
                <w:rFonts w:eastAsia="楷体"/>
                <w:sz w:val="28"/>
                <w:szCs w:val="28"/>
              </w:rPr>
              <w:t>)</w:t>
            </w:r>
            <w:r>
              <w:rPr>
                <w:rFonts w:hAnsi="楷体" w:eastAsia="楷体"/>
                <w:sz w:val="28"/>
                <w:szCs w:val="28"/>
              </w:rPr>
              <w:t>的质量分数</w:t>
            </w:r>
          </w:p>
        </w:tc>
        <w:tc>
          <w:tcPr>
            <w:tcW w:w="4345" w:type="dxa"/>
            <w:noWrap w:val="0"/>
            <w:vAlign w:val="top"/>
          </w:tcPr>
          <w:p w14:paraId="29CDEB5B">
            <w:pPr>
              <w:spacing w:before="156" w:beforeLines="50" w:after="156" w:afterLines="50" w:line="480" w:lineRule="exact"/>
              <w:jc w:val="center"/>
              <w:textAlignment w:val="baseline"/>
              <w:rPr>
                <w:rFonts w:eastAsia="楷体"/>
                <w:sz w:val="28"/>
                <w:szCs w:val="28"/>
              </w:rPr>
            </w:pPr>
            <w:r>
              <w:rPr>
                <w:rFonts w:eastAsia="楷体"/>
                <w:sz w:val="28"/>
                <w:szCs w:val="28"/>
              </w:rPr>
              <w:t>≤0.05%</w:t>
            </w:r>
          </w:p>
        </w:tc>
      </w:tr>
      <w:tr w14:paraId="4A063C1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5" w:hRule="atLeast"/>
        </w:trPr>
        <w:tc>
          <w:tcPr>
            <w:tcW w:w="4500" w:type="dxa"/>
            <w:noWrap w:val="0"/>
            <w:vAlign w:val="top"/>
          </w:tcPr>
          <w:p w14:paraId="77BA44E4">
            <w:pPr>
              <w:spacing w:before="156" w:beforeLines="50" w:after="156" w:afterLines="50" w:line="480" w:lineRule="exact"/>
              <w:jc w:val="center"/>
              <w:textAlignment w:val="baseline"/>
              <w:rPr>
                <w:rFonts w:eastAsia="楷体"/>
                <w:sz w:val="28"/>
                <w:szCs w:val="28"/>
              </w:rPr>
            </w:pPr>
            <w:r>
              <w:rPr>
                <w:rFonts w:hAnsi="楷体" w:eastAsia="楷体"/>
                <w:sz w:val="28"/>
                <w:szCs w:val="28"/>
              </w:rPr>
              <w:t>三氧化二铁</w:t>
            </w:r>
            <w:r>
              <w:rPr>
                <w:rFonts w:eastAsia="楷体"/>
                <w:sz w:val="28"/>
                <w:szCs w:val="28"/>
              </w:rPr>
              <w:t>(</w:t>
            </w:r>
            <w:r>
              <w:rPr>
                <w:rFonts w:hAnsi="楷体" w:eastAsia="楷体"/>
                <w:sz w:val="28"/>
                <w:szCs w:val="28"/>
              </w:rPr>
              <w:t>以</w:t>
            </w:r>
            <w:r>
              <w:rPr>
                <w:rFonts w:eastAsia="楷体"/>
                <w:sz w:val="28"/>
                <w:szCs w:val="28"/>
              </w:rPr>
              <w:t>Fe</w:t>
            </w:r>
            <w:r>
              <w:rPr>
                <w:rFonts w:eastAsia="楷体"/>
                <w:sz w:val="28"/>
                <w:szCs w:val="28"/>
                <w:vertAlign w:val="subscript"/>
              </w:rPr>
              <w:t>2</w:t>
            </w:r>
            <w:r>
              <w:rPr>
                <w:rFonts w:eastAsia="楷体"/>
                <w:sz w:val="28"/>
                <w:szCs w:val="28"/>
              </w:rPr>
              <w:t>O</w:t>
            </w:r>
            <w:r>
              <w:rPr>
                <w:rFonts w:eastAsia="楷体"/>
                <w:sz w:val="28"/>
                <w:szCs w:val="28"/>
                <w:vertAlign w:val="subscript"/>
              </w:rPr>
              <w:t>3</w:t>
            </w:r>
            <w:r>
              <w:rPr>
                <w:rFonts w:hAnsi="楷体" w:eastAsia="楷体"/>
                <w:sz w:val="28"/>
                <w:szCs w:val="28"/>
              </w:rPr>
              <w:t>计</w:t>
            </w:r>
            <w:r>
              <w:rPr>
                <w:rFonts w:eastAsia="楷体"/>
                <w:sz w:val="28"/>
                <w:szCs w:val="28"/>
              </w:rPr>
              <w:t>)</w:t>
            </w:r>
            <w:r>
              <w:rPr>
                <w:rFonts w:hAnsi="楷体" w:eastAsia="楷体"/>
                <w:sz w:val="28"/>
                <w:szCs w:val="28"/>
              </w:rPr>
              <w:t>的质量分数</w:t>
            </w:r>
          </w:p>
        </w:tc>
        <w:tc>
          <w:tcPr>
            <w:tcW w:w="4345" w:type="dxa"/>
            <w:noWrap w:val="0"/>
            <w:vAlign w:val="top"/>
          </w:tcPr>
          <w:p w14:paraId="1DA9BB2F">
            <w:pPr>
              <w:spacing w:before="156" w:beforeLines="50" w:after="156" w:afterLines="50" w:line="480" w:lineRule="exact"/>
              <w:jc w:val="center"/>
              <w:textAlignment w:val="baseline"/>
              <w:rPr>
                <w:rFonts w:eastAsia="楷体"/>
                <w:sz w:val="28"/>
                <w:szCs w:val="28"/>
              </w:rPr>
            </w:pPr>
            <w:r>
              <w:rPr>
                <w:rFonts w:eastAsia="楷体"/>
                <w:sz w:val="28"/>
                <w:szCs w:val="28"/>
              </w:rPr>
              <w:t>≤0.008%</w:t>
            </w:r>
          </w:p>
        </w:tc>
      </w:tr>
      <w:tr w14:paraId="63C8AF9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5" w:hRule="atLeast"/>
        </w:trPr>
        <w:tc>
          <w:tcPr>
            <w:tcW w:w="4500" w:type="dxa"/>
            <w:noWrap w:val="0"/>
            <w:vAlign w:val="top"/>
          </w:tcPr>
          <w:p w14:paraId="524AAA02">
            <w:pPr>
              <w:spacing w:before="156" w:beforeLines="50" w:after="156" w:afterLines="50" w:line="480" w:lineRule="exact"/>
              <w:jc w:val="center"/>
              <w:textAlignment w:val="baseline"/>
              <w:rPr>
                <w:rFonts w:hint="eastAsia" w:hAnsi="楷体" w:eastAsia="楷体"/>
                <w:sz w:val="28"/>
                <w:szCs w:val="28"/>
                <w:lang w:val="en-US" w:eastAsia="zh-CN"/>
              </w:rPr>
            </w:pPr>
            <w:r>
              <w:rPr>
                <w:rFonts w:hint="eastAsia" w:hAnsi="楷体" w:eastAsia="楷体"/>
                <w:sz w:val="28"/>
                <w:szCs w:val="28"/>
                <w:lang w:val="en-US" w:eastAsia="zh-CN"/>
              </w:rPr>
              <w:t>规格</w:t>
            </w:r>
          </w:p>
        </w:tc>
        <w:tc>
          <w:tcPr>
            <w:tcW w:w="4345" w:type="dxa"/>
            <w:noWrap w:val="0"/>
            <w:vAlign w:val="top"/>
          </w:tcPr>
          <w:p w14:paraId="2C949F75">
            <w:pPr>
              <w:spacing w:before="156" w:beforeLines="50" w:after="156" w:afterLines="50" w:line="480" w:lineRule="exact"/>
              <w:jc w:val="center"/>
              <w:textAlignment w:val="baseline"/>
              <w:rPr>
                <w:rFonts w:hint="default" w:eastAsia="楷体"/>
                <w:sz w:val="28"/>
                <w:szCs w:val="28"/>
                <w:lang w:val="en-US" w:eastAsia="zh-CN"/>
              </w:rPr>
            </w:pPr>
            <w:r>
              <w:rPr>
                <w:rFonts w:hint="eastAsia" w:eastAsia="楷体"/>
                <w:sz w:val="28"/>
                <w:szCs w:val="28"/>
                <w:lang w:val="en-US" w:eastAsia="zh-CN"/>
              </w:rPr>
              <w:t>25kg/袋</w:t>
            </w:r>
          </w:p>
        </w:tc>
      </w:tr>
    </w:tbl>
    <w:p w14:paraId="3879F9C5">
      <w:pPr>
        <w:keepNext w:val="0"/>
        <w:keepLines w:val="0"/>
        <w:pageBreakBefore w:val="0"/>
        <w:widowControl w:val="0"/>
        <w:tabs>
          <w:tab w:val="left" w:pos="7513"/>
        </w:tabs>
        <w:kinsoku/>
        <w:wordWrap w:val="0"/>
        <w:overflowPunct/>
        <w:topLinePunct w:val="0"/>
        <w:autoSpaceDE/>
        <w:autoSpaceDN/>
        <w:bidi w:val="0"/>
        <w:adjustRightInd/>
        <w:snapToGrid w:val="0"/>
        <w:spacing w:line="500" w:lineRule="exact"/>
        <w:ind w:right="-88" w:rightChars="0"/>
        <w:jc w:val="both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</w:p>
    <w:sectPr>
      <w:headerReference r:id="rId3" w:type="default"/>
      <w:footerReference r:id="rId4" w:type="default"/>
      <w:pgSz w:w="11906" w:h="16838"/>
      <w:pgMar w:top="400" w:right="966" w:bottom="0" w:left="1780" w:header="0" w:footer="0" w:gutter="0"/>
      <w:cols w:space="720" w:num="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小标宋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楷体_GB2312">
    <w:altName w:val="楷体"/>
    <w:panose1 w:val="02010609030101010101"/>
    <w:charset w:val="86"/>
    <w:family w:val="modern"/>
    <w:pitch w:val="default"/>
    <w:sig w:usb0="00000000" w:usb1="00000000" w:usb2="0000001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2278578">
    <w:pPr>
      <w:pStyle w:val="3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58F5A8B">
    <w:pPr>
      <w:spacing w:line="14" w:lineRule="auto"/>
      <w:rPr>
        <w:rFonts w:ascii="Arial"/>
        <w:sz w:val="2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2Q4MzMzMjU0ODBkYzNiOTQxMmExYjk3N2IzMmMyNGUifQ=="/>
  </w:docVars>
  <w:rsids>
    <w:rsidRoot w:val="36450E11"/>
    <w:rsid w:val="0075194C"/>
    <w:rsid w:val="01DA128A"/>
    <w:rsid w:val="039B791C"/>
    <w:rsid w:val="04406715"/>
    <w:rsid w:val="06C666D2"/>
    <w:rsid w:val="087D3A94"/>
    <w:rsid w:val="08B71999"/>
    <w:rsid w:val="09520029"/>
    <w:rsid w:val="095C5AA6"/>
    <w:rsid w:val="0A072520"/>
    <w:rsid w:val="0AE17CC7"/>
    <w:rsid w:val="0E6A6B93"/>
    <w:rsid w:val="0F5C5398"/>
    <w:rsid w:val="1021564D"/>
    <w:rsid w:val="10582726"/>
    <w:rsid w:val="10D95F27"/>
    <w:rsid w:val="1296136F"/>
    <w:rsid w:val="141A5AA2"/>
    <w:rsid w:val="143376FC"/>
    <w:rsid w:val="170C3880"/>
    <w:rsid w:val="174445BC"/>
    <w:rsid w:val="175702E4"/>
    <w:rsid w:val="1A303E0E"/>
    <w:rsid w:val="1D9C27B6"/>
    <w:rsid w:val="1E017843"/>
    <w:rsid w:val="1F244811"/>
    <w:rsid w:val="1FFB37C4"/>
    <w:rsid w:val="203A74BD"/>
    <w:rsid w:val="205D071B"/>
    <w:rsid w:val="20653EA4"/>
    <w:rsid w:val="20DF7EE0"/>
    <w:rsid w:val="20EC39FC"/>
    <w:rsid w:val="20FE43ED"/>
    <w:rsid w:val="2232323F"/>
    <w:rsid w:val="24131B7F"/>
    <w:rsid w:val="25A16BBC"/>
    <w:rsid w:val="25BD68C6"/>
    <w:rsid w:val="26CA2222"/>
    <w:rsid w:val="26E724FA"/>
    <w:rsid w:val="27181100"/>
    <w:rsid w:val="278422F1"/>
    <w:rsid w:val="2809165E"/>
    <w:rsid w:val="281D62A2"/>
    <w:rsid w:val="2B621D8C"/>
    <w:rsid w:val="2C9645D2"/>
    <w:rsid w:val="2C995F8B"/>
    <w:rsid w:val="2CA156F3"/>
    <w:rsid w:val="2D2A56E9"/>
    <w:rsid w:val="2D47464D"/>
    <w:rsid w:val="2D5269EE"/>
    <w:rsid w:val="2DFD2D7B"/>
    <w:rsid w:val="2F1E4580"/>
    <w:rsid w:val="2F81180C"/>
    <w:rsid w:val="300E30A0"/>
    <w:rsid w:val="30BD4AC6"/>
    <w:rsid w:val="31D01E0E"/>
    <w:rsid w:val="32BD20D7"/>
    <w:rsid w:val="33AB6E58"/>
    <w:rsid w:val="33DA484D"/>
    <w:rsid w:val="342E1F62"/>
    <w:rsid w:val="34B34216"/>
    <w:rsid w:val="35BE25E7"/>
    <w:rsid w:val="36450E11"/>
    <w:rsid w:val="36F62AE0"/>
    <w:rsid w:val="37DB78C3"/>
    <w:rsid w:val="38404012"/>
    <w:rsid w:val="38745950"/>
    <w:rsid w:val="387719FE"/>
    <w:rsid w:val="38EE10C1"/>
    <w:rsid w:val="393B0540"/>
    <w:rsid w:val="397301E8"/>
    <w:rsid w:val="3B1023F6"/>
    <w:rsid w:val="3B2D06E4"/>
    <w:rsid w:val="3B554279"/>
    <w:rsid w:val="3B7A21FC"/>
    <w:rsid w:val="3DEF375C"/>
    <w:rsid w:val="3DFC5293"/>
    <w:rsid w:val="404165F2"/>
    <w:rsid w:val="42845443"/>
    <w:rsid w:val="43F81C45"/>
    <w:rsid w:val="43F92291"/>
    <w:rsid w:val="441B5933"/>
    <w:rsid w:val="442F7257"/>
    <w:rsid w:val="444549C6"/>
    <w:rsid w:val="44711D77"/>
    <w:rsid w:val="45222F42"/>
    <w:rsid w:val="45776B6B"/>
    <w:rsid w:val="45C83899"/>
    <w:rsid w:val="45FB3C6E"/>
    <w:rsid w:val="46032B23"/>
    <w:rsid w:val="462C5BD6"/>
    <w:rsid w:val="472D7E58"/>
    <w:rsid w:val="48003C10"/>
    <w:rsid w:val="495F616F"/>
    <w:rsid w:val="4C496778"/>
    <w:rsid w:val="4CE418BA"/>
    <w:rsid w:val="4E2D698F"/>
    <w:rsid w:val="4ED96D4D"/>
    <w:rsid w:val="4EFB181F"/>
    <w:rsid w:val="4F1279DB"/>
    <w:rsid w:val="4FA40ED3"/>
    <w:rsid w:val="4FDF015D"/>
    <w:rsid w:val="50233940"/>
    <w:rsid w:val="52DC0F6C"/>
    <w:rsid w:val="52DF44EC"/>
    <w:rsid w:val="532F5BD0"/>
    <w:rsid w:val="538F5AA5"/>
    <w:rsid w:val="539D3834"/>
    <w:rsid w:val="553D47BC"/>
    <w:rsid w:val="559C67DA"/>
    <w:rsid w:val="560D3BA9"/>
    <w:rsid w:val="566B62A7"/>
    <w:rsid w:val="56F63037"/>
    <w:rsid w:val="57250B4B"/>
    <w:rsid w:val="57FD3876"/>
    <w:rsid w:val="58044C05"/>
    <w:rsid w:val="58296419"/>
    <w:rsid w:val="58703126"/>
    <w:rsid w:val="593958DA"/>
    <w:rsid w:val="5A30560A"/>
    <w:rsid w:val="5A64198B"/>
    <w:rsid w:val="5ADD09B6"/>
    <w:rsid w:val="5B2A1AFC"/>
    <w:rsid w:val="5CCB3E51"/>
    <w:rsid w:val="5E602469"/>
    <w:rsid w:val="5E7C7808"/>
    <w:rsid w:val="5EB7189E"/>
    <w:rsid w:val="5ED846F5"/>
    <w:rsid w:val="5F1D47FE"/>
    <w:rsid w:val="611E39E7"/>
    <w:rsid w:val="61970898"/>
    <w:rsid w:val="619F626E"/>
    <w:rsid w:val="61B431F8"/>
    <w:rsid w:val="61C53537"/>
    <w:rsid w:val="62BA1570"/>
    <w:rsid w:val="65FB46E5"/>
    <w:rsid w:val="66482160"/>
    <w:rsid w:val="67B17AD2"/>
    <w:rsid w:val="68352BB8"/>
    <w:rsid w:val="690A2A67"/>
    <w:rsid w:val="69633612"/>
    <w:rsid w:val="6A051422"/>
    <w:rsid w:val="6A097E59"/>
    <w:rsid w:val="6A6F4AEE"/>
    <w:rsid w:val="6AB778B5"/>
    <w:rsid w:val="6BD65B02"/>
    <w:rsid w:val="6CAD1210"/>
    <w:rsid w:val="6E9F0A83"/>
    <w:rsid w:val="70695DBC"/>
    <w:rsid w:val="709A4CC2"/>
    <w:rsid w:val="70F74EAF"/>
    <w:rsid w:val="71211F2C"/>
    <w:rsid w:val="718D75C1"/>
    <w:rsid w:val="72FE33B9"/>
    <w:rsid w:val="7453576B"/>
    <w:rsid w:val="75B25848"/>
    <w:rsid w:val="75CA59AE"/>
    <w:rsid w:val="75D51F38"/>
    <w:rsid w:val="768631AC"/>
    <w:rsid w:val="772938E8"/>
    <w:rsid w:val="77297D8C"/>
    <w:rsid w:val="77C11D73"/>
    <w:rsid w:val="7B5F3D7C"/>
    <w:rsid w:val="7B8E72B6"/>
    <w:rsid w:val="7CA73C2D"/>
    <w:rsid w:val="7D004607"/>
    <w:rsid w:val="7D555290"/>
    <w:rsid w:val="7D8C3AA5"/>
    <w:rsid w:val="7DD32800"/>
    <w:rsid w:val="7DE14F1D"/>
    <w:rsid w:val="7F8D6B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59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1"/>
      <w:lang w:val="en-US" w:eastAsia="zh-CN" w:bidi="ar-SA"/>
    </w:rPr>
  </w:style>
  <w:style w:type="character" w:default="1" w:styleId="6">
    <w:name w:val="Default Paragraph Font"/>
    <w:autoRedefine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semiHidden/>
    <w:qFormat/>
    <w:uiPriority w:val="0"/>
    <w:rPr>
      <w:rFonts w:ascii="宋体" w:hAnsi="宋体" w:eastAsia="宋体" w:cs="宋体"/>
      <w:sz w:val="31"/>
      <w:szCs w:val="31"/>
      <w:lang w:val="en-US" w:eastAsia="en-US" w:bidi="ar-SA"/>
    </w:rPr>
  </w:style>
  <w:style w:type="paragraph" w:styleId="3">
    <w:name w:val="footer"/>
    <w:basedOn w:val="1"/>
    <w:autoRedefine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table" w:styleId="5">
    <w:name w:val="Table Grid"/>
    <w:basedOn w:val="4"/>
    <w:qFormat/>
    <w:uiPriority w:val="5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7">
    <w:name w:val="Char Char Char Char Char Char Char Char Char Char Char Char Char Char Char Char"/>
    <w:basedOn w:val="1"/>
    <w:autoRedefine/>
    <w:qFormat/>
    <w:uiPriority w:val="0"/>
    <w:pPr>
      <w:spacing w:line="360" w:lineRule="auto"/>
      <w:ind w:firstLine="200" w:firstLineChars="200"/>
    </w:pPr>
    <w:rPr>
      <w:rFonts w:ascii="Tahoma" w:hAnsi="Tahoma" w:eastAsia="楷体"/>
      <w:sz w:val="32"/>
      <w:szCs w:val="20"/>
    </w:rPr>
  </w:style>
  <w:style w:type="character" w:customStyle="1" w:styleId="8">
    <w:name w:val="font21"/>
    <w:basedOn w:val="6"/>
    <w:qFormat/>
    <w:uiPriority w:val="0"/>
    <w:rPr>
      <w:rFonts w:hint="eastAsia" w:ascii="仿宋_GB2312" w:eastAsia="仿宋_GB2312" w:cs="仿宋_GB2312"/>
      <w:color w:val="000000"/>
      <w:sz w:val="20"/>
      <w:szCs w:val="20"/>
      <w:u w:val="none"/>
    </w:rPr>
  </w:style>
  <w:style w:type="character" w:customStyle="1" w:styleId="9">
    <w:name w:val="font31"/>
    <w:basedOn w:val="6"/>
    <w:qFormat/>
    <w:uiPriority w:val="0"/>
    <w:rPr>
      <w:rFonts w:hint="eastAsia" w:ascii="宋体" w:hAnsi="宋体" w:eastAsia="宋体" w:cs="宋体"/>
      <w:color w:val="000000"/>
      <w:sz w:val="20"/>
      <w:szCs w:val="20"/>
      <w:u w:val="none"/>
    </w:rPr>
  </w:style>
  <w:style w:type="table" w:customStyle="1" w:styleId="10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11">
    <w:name w:val="Table Text"/>
    <w:basedOn w:val="1"/>
    <w:semiHidden/>
    <w:qFormat/>
    <w:uiPriority w:val="0"/>
    <w:rPr>
      <w:rFonts w:ascii="Arial" w:hAnsi="Arial" w:eastAsia="Arial" w:cs="Arial"/>
      <w:sz w:val="21"/>
      <w:szCs w:val="21"/>
      <w:lang w:val="en-US" w:eastAsia="en-US" w:bidi="ar-SA"/>
    </w:rPr>
  </w:style>
  <w:style w:type="character" w:customStyle="1" w:styleId="12">
    <w:name w:val="font11"/>
    <w:basedOn w:val="6"/>
    <w:qFormat/>
    <w:uiPriority w:val="0"/>
    <w:rPr>
      <w:rFonts w:hint="eastAsia" w:ascii="仿宋_GB2312" w:eastAsia="仿宋_GB2312" w:cs="仿宋_GB2312"/>
      <w:color w:val="000000"/>
      <w:sz w:val="24"/>
      <w:szCs w:val="24"/>
      <w:u w:val="none"/>
    </w:rPr>
  </w:style>
  <w:style w:type="character" w:customStyle="1" w:styleId="13">
    <w:name w:val="font41"/>
    <w:basedOn w:val="6"/>
    <w:qFormat/>
    <w:uiPriority w:val="0"/>
    <w:rPr>
      <w:rFonts w:hint="eastAsia" w:ascii="仿宋_GB2312" w:eastAsia="仿宋_GB2312" w:cs="仿宋_GB2312"/>
      <w:color w:val="000000"/>
      <w:sz w:val="20"/>
      <w:szCs w:val="20"/>
      <w:u w:val="none"/>
    </w:rPr>
  </w:style>
  <w:style w:type="character" w:customStyle="1" w:styleId="14">
    <w:name w:val="font51"/>
    <w:basedOn w:val="6"/>
    <w:qFormat/>
    <w:uiPriority w:val="0"/>
    <w:rPr>
      <w:rFonts w:hint="eastAsia" w:ascii="宋体" w:hAnsi="宋体" w:eastAsia="宋体" w:cs="宋体"/>
      <w:color w:val="000000"/>
      <w:sz w:val="20"/>
      <w:szCs w:val="20"/>
      <w:u w:val="none"/>
    </w:rPr>
  </w:style>
  <w:style w:type="character" w:customStyle="1" w:styleId="15">
    <w:name w:val="font61"/>
    <w:basedOn w:val="6"/>
    <w:qFormat/>
    <w:uiPriority w:val="0"/>
    <w:rPr>
      <w:rFonts w:ascii="Arial" w:hAnsi="Arial" w:cs="Arial"/>
      <w:color w:val="000000"/>
      <w:sz w:val="20"/>
      <w:szCs w:val="20"/>
      <w:u w:val="none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733</Words>
  <Characters>917</Characters>
  <Lines>0</Lines>
  <Paragraphs>0</Paragraphs>
  <TotalTime>7</TotalTime>
  <ScaleCrop>false</ScaleCrop>
  <LinksUpToDate>false</LinksUpToDate>
  <CharactersWithSpaces>937</CharactersWithSpaces>
  <Application>WPS Office_12.1.0.25860_F1E327BC-269C-435d-A152-05C5408002CA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2019-12-23T00:42:00Z</dcterms:created>
  <dc:creator>王庆维</dc:creator>
  <cp:lastModifiedBy>王旭东北制药</cp:lastModifiedBy>
  <dcterms:modified xsi:type="dcterms:W3CDTF">2026-05-11T09:43:17Z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2052-12.1.0.25860</vt:lpwstr>
  </property>
  <property fmtid="{D5CDD505-2E9C-101B-9397-08002B2CF9AE}" pid="3" name="ICV">
    <vt:lpwstr>5F1CFF968D5F490C8F46659188A6A378_13</vt:lpwstr>
  </property>
  <property fmtid="{D5CDD505-2E9C-101B-9397-08002B2CF9AE}" pid="4" name="KSOTemplateDocerSaveRecord">
    <vt:lpwstr>eyJoZGlkIjoiMjcxMzY2NmVkYjNkMTk3YTFlZGRlMjk0Yzk2ZWQ2N2MiLCJ1c2VySWQiOiI0NDg2MTU3OTUifQ==</vt:lpwstr>
  </property>
</Properties>
</file>