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FDD4CD">
      <w:pPr>
        <w:spacing w:before="156" w:beforeLines="50" w:after="156" w:afterLines="50" w:line="560" w:lineRule="exact"/>
        <w:rPr>
          <w:rFonts w:ascii="宋体" w:hAnsi="宋体"/>
          <w:b/>
          <w:bCs/>
          <w:sz w:val="32"/>
          <w:szCs w:val="32"/>
        </w:rPr>
      </w:pPr>
      <w:r>
        <w:rPr>
          <w:rFonts w:hint="eastAsia" w:ascii="宋体" w:hAnsi="宋体"/>
          <w:b/>
          <w:bCs/>
          <w:sz w:val="32"/>
          <w:szCs w:val="32"/>
        </w:rPr>
        <w:t>附件</w:t>
      </w:r>
    </w:p>
    <w:p w14:paraId="35D1E1D5">
      <w:pPr>
        <w:spacing w:before="156" w:beforeLines="50" w:after="156" w:afterLines="50" w:line="240" w:lineRule="exact"/>
        <w:rPr>
          <w:rFonts w:ascii="宋体" w:hAnsi="宋体"/>
          <w:b/>
          <w:bCs/>
          <w:sz w:val="32"/>
          <w:szCs w:val="32"/>
        </w:rPr>
      </w:pPr>
    </w:p>
    <w:p w14:paraId="2ED981EF">
      <w:pPr>
        <w:spacing w:before="156" w:beforeLines="50" w:after="156" w:afterLines="50" w:line="560" w:lineRule="exact"/>
        <w:jc w:val="center"/>
        <w:rPr>
          <w:rFonts w:ascii="黑体" w:hAnsi="黑体" w:eastAsia="黑体"/>
          <w:sz w:val="32"/>
          <w:szCs w:val="32"/>
        </w:rPr>
      </w:pPr>
      <w:bookmarkStart w:id="0" w:name="_GoBack"/>
      <w:r>
        <w:rPr>
          <w:rFonts w:hint="eastAsia" w:ascii="小标宋" w:hAnsi="黑体" w:eastAsia="小标宋"/>
          <w:sz w:val="44"/>
          <w:szCs w:val="44"/>
        </w:rPr>
        <w:t>项目综合审评表</w:t>
      </w:r>
    </w:p>
    <w:bookmarkEnd w:id="0"/>
    <w:tbl>
      <w:tblPr>
        <w:tblStyle w:val="4"/>
        <w:tblW w:w="864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709"/>
        <w:gridCol w:w="3969"/>
        <w:gridCol w:w="708"/>
        <w:gridCol w:w="1276"/>
      </w:tblGrid>
      <w:tr w14:paraId="1AB78C0C">
        <w:trPr>
          <w:trHeight w:val="752" w:hRule="atLeast"/>
          <w:jc w:val="center"/>
        </w:trPr>
        <w:tc>
          <w:tcPr>
            <w:tcW w:w="1980" w:type="dxa"/>
          </w:tcPr>
          <w:p w14:paraId="695A6FE9">
            <w:pPr>
              <w:spacing w:before="156" w:beforeLines="50" w:after="156" w:afterLines="50"/>
              <w:jc w:val="center"/>
              <w:rPr>
                <w:rFonts w:ascii="仿宋_GB2312" w:hAnsi="仿宋" w:eastAsia="仿宋_GB2312"/>
                <w:b/>
                <w:bCs/>
                <w:szCs w:val="21"/>
              </w:rPr>
            </w:pPr>
            <w:r>
              <w:rPr>
                <w:rFonts w:hint="eastAsia" w:ascii="仿宋_GB2312" w:hAnsi="仿宋" w:eastAsia="仿宋_GB2312"/>
                <w:b/>
                <w:bCs/>
                <w:szCs w:val="21"/>
              </w:rPr>
              <w:t>分项内容</w:t>
            </w:r>
          </w:p>
        </w:tc>
        <w:tc>
          <w:tcPr>
            <w:tcW w:w="709" w:type="dxa"/>
          </w:tcPr>
          <w:p w14:paraId="4D841F6D">
            <w:pPr>
              <w:spacing w:before="156" w:beforeLines="50" w:after="156" w:afterLines="50"/>
              <w:jc w:val="center"/>
              <w:rPr>
                <w:rFonts w:ascii="仿宋_GB2312" w:hAnsi="仿宋" w:eastAsia="仿宋_GB2312"/>
                <w:b/>
                <w:bCs/>
                <w:szCs w:val="21"/>
              </w:rPr>
            </w:pPr>
            <w:r>
              <w:rPr>
                <w:rFonts w:hint="eastAsia" w:ascii="仿宋_GB2312" w:hAnsi="仿宋" w:eastAsia="仿宋_GB2312"/>
                <w:b/>
                <w:bCs/>
                <w:szCs w:val="21"/>
              </w:rPr>
              <w:t>分值</w:t>
            </w:r>
          </w:p>
        </w:tc>
        <w:tc>
          <w:tcPr>
            <w:tcW w:w="3969" w:type="dxa"/>
          </w:tcPr>
          <w:p w14:paraId="60B67402">
            <w:pPr>
              <w:spacing w:before="156" w:beforeLines="50" w:after="156" w:afterLines="50"/>
              <w:jc w:val="center"/>
              <w:rPr>
                <w:rFonts w:ascii="仿宋_GB2312" w:hAnsi="仿宋" w:eastAsia="仿宋_GB2312"/>
                <w:b/>
                <w:bCs/>
                <w:szCs w:val="21"/>
              </w:rPr>
            </w:pPr>
            <w:r>
              <w:rPr>
                <w:rFonts w:hint="eastAsia" w:ascii="仿宋_GB2312" w:hAnsi="仿宋" w:eastAsia="仿宋_GB2312"/>
                <w:b/>
                <w:bCs/>
                <w:szCs w:val="21"/>
              </w:rPr>
              <w:t>评分标准</w:t>
            </w:r>
          </w:p>
        </w:tc>
        <w:tc>
          <w:tcPr>
            <w:tcW w:w="708" w:type="dxa"/>
          </w:tcPr>
          <w:p w14:paraId="528D61A5">
            <w:pPr>
              <w:spacing w:before="156" w:beforeLines="50" w:after="156" w:afterLines="50"/>
              <w:jc w:val="center"/>
              <w:rPr>
                <w:rFonts w:ascii="仿宋_GB2312" w:hAnsi="仿宋" w:eastAsia="仿宋_GB2312"/>
                <w:b/>
                <w:bCs/>
                <w:szCs w:val="21"/>
              </w:rPr>
            </w:pPr>
            <w:r>
              <w:rPr>
                <w:rFonts w:hint="eastAsia" w:ascii="仿宋_GB2312" w:hAnsi="仿宋" w:eastAsia="仿宋_GB2312"/>
                <w:b/>
                <w:bCs/>
                <w:szCs w:val="21"/>
              </w:rPr>
              <w:t>得分</w:t>
            </w:r>
          </w:p>
        </w:tc>
        <w:tc>
          <w:tcPr>
            <w:tcW w:w="1276" w:type="dxa"/>
          </w:tcPr>
          <w:p w14:paraId="14E7C685">
            <w:pPr>
              <w:spacing w:before="156" w:beforeLines="50" w:after="156" w:afterLines="50"/>
              <w:jc w:val="center"/>
              <w:rPr>
                <w:rFonts w:ascii="仿宋_GB2312" w:hAnsi="仿宋" w:eastAsia="仿宋_GB2312"/>
                <w:b/>
                <w:bCs/>
                <w:szCs w:val="21"/>
              </w:rPr>
            </w:pPr>
            <w:r>
              <w:rPr>
                <w:rFonts w:hint="eastAsia" w:ascii="仿宋_GB2312" w:hAnsi="仿宋" w:eastAsia="仿宋_GB2312"/>
                <w:b/>
                <w:bCs/>
                <w:szCs w:val="21"/>
              </w:rPr>
              <w:t>评分依据</w:t>
            </w:r>
          </w:p>
        </w:tc>
      </w:tr>
      <w:tr w14:paraId="5AFE7B58">
        <w:trPr>
          <w:trHeight w:val="752" w:hRule="atLeast"/>
          <w:jc w:val="center"/>
        </w:trPr>
        <w:tc>
          <w:tcPr>
            <w:tcW w:w="1980" w:type="dxa"/>
            <w:vAlign w:val="center"/>
          </w:tcPr>
          <w:p w14:paraId="0E8476E3">
            <w:pPr>
              <w:spacing w:before="156" w:beforeLines="50" w:after="156" w:afterLines="50"/>
              <w:jc w:val="center"/>
              <w:rPr>
                <w:rFonts w:ascii="仿宋_GB2312" w:hAnsi="仿宋" w:eastAsia="仿宋_GB2312"/>
                <w:szCs w:val="21"/>
              </w:rPr>
            </w:pPr>
            <w:r>
              <w:rPr>
                <w:rFonts w:hint="eastAsia" w:ascii="仿宋_GB2312" w:hAnsi="仿宋" w:eastAsia="仿宋_GB2312"/>
                <w:szCs w:val="21"/>
              </w:rPr>
              <w:t>资料审核</w:t>
            </w:r>
          </w:p>
        </w:tc>
        <w:tc>
          <w:tcPr>
            <w:tcW w:w="709" w:type="dxa"/>
            <w:vAlign w:val="center"/>
          </w:tcPr>
          <w:p w14:paraId="0AD1A3BB">
            <w:pPr>
              <w:spacing w:before="156" w:beforeLines="50" w:after="156" w:afterLines="50"/>
              <w:jc w:val="center"/>
              <w:rPr>
                <w:rFonts w:ascii="仿宋_GB2312" w:hAnsi="仿宋" w:eastAsia="仿宋_GB2312"/>
                <w:szCs w:val="21"/>
              </w:rPr>
            </w:pPr>
            <w:r>
              <w:rPr>
                <w:rFonts w:hint="eastAsia" w:ascii="仿宋_GB2312" w:hAnsi="仿宋" w:eastAsia="仿宋_GB2312"/>
                <w:szCs w:val="21"/>
              </w:rPr>
              <w:t>5</w:t>
            </w:r>
          </w:p>
        </w:tc>
        <w:tc>
          <w:tcPr>
            <w:tcW w:w="3969" w:type="dxa"/>
          </w:tcPr>
          <w:p w14:paraId="2782F86E">
            <w:pPr>
              <w:spacing w:before="156" w:beforeLines="50" w:after="156" w:afterLines="50"/>
              <w:rPr>
                <w:rFonts w:ascii="仿宋_GB2312" w:hAnsi="仿宋" w:eastAsia="仿宋_GB2312"/>
                <w:szCs w:val="21"/>
              </w:rPr>
            </w:pPr>
            <w:r>
              <w:rPr>
                <w:rFonts w:hint="eastAsia" w:ascii="仿宋_GB2312" w:hAnsi="仿宋" w:eastAsia="仿宋_GB2312"/>
                <w:szCs w:val="21"/>
              </w:rPr>
              <w:t>按要求资料齐全、整理有序。</w:t>
            </w:r>
          </w:p>
        </w:tc>
        <w:tc>
          <w:tcPr>
            <w:tcW w:w="708" w:type="dxa"/>
          </w:tcPr>
          <w:p w14:paraId="66814FFA">
            <w:pPr>
              <w:spacing w:before="156" w:beforeLines="50" w:after="156" w:afterLines="50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276" w:type="dxa"/>
          </w:tcPr>
          <w:p w14:paraId="09E6169F">
            <w:pPr>
              <w:spacing w:before="156" w:beforeLines="50" w:after="156" w:afterLines="50"/>
              <w:rPr>
                <w:rFonts w:ascii="仿宋" w:hAnsi="仿宋" w:eastAsia="仿宋"/>
                <w:szCs w:val="21"/>
              </w:rPr>
            </w:pPr>
          </w:p>
        </w:tc>
      </w:tr>
      <w:tr w14:paraId="2A8320C8">
        <w:trPr>
          <w:trHeight w:val="752" w:hRule="atLeast"/>
          <w:jc w:val="center"/>
        </w:trPr>
        <w:tc>
          <w:tcPr>
            <w:tcW w:w="1980" w:type="dxa"/>
            <w:vAlign w:val="center"/>
          </w:tcPr>
          <w:p w14:paraId="6FCED7E7">
            <w:pPr>
              <w:spacing w:before="156" w:beforeLines="50" w:after="156" w:afterLines="50"/>
              <w:jc w:val="center"/>
              <w:rPr>
                <w:rFonts w:ascii="仿宋_GB2312" w:hAnsi="仿宋" w:eastAsia="仿宋_GB2312"/>
                <w:szCs w:val="21"/>
              </w:rPr>
            </w:pPr>
            <w:r>
              <w:rPr>
                <w:rFonts w:hint="eastAsia" w:ascii="仿宋_GB2312" w:hAnsi="仿宋" w:eastAsia="仿宋_GB2312"/>
                <w:szCs w:val="21"/>
              </w:rPr>
              <w:t>搭建经验</w:t>
            </w:r>
          </w:p>
        </w:tc>
        <w:tc>
          <w:tcPr>
            <w:tcW w:w="709" w:type="dxa"/>
            <w:vAlign w:val="center"/>
          </w:tcPr>
          <w:p w14:paraId="6D3D9933">
            <w:pPr>
              <w:spacing w:before="156" w:beforeLines="50" w:after="156" w:afterLines="50"/>
              <w:jc w:val="center"/>
              <w:rPr>
                <w:rFonts w:ascii="仿宋_GB2312" w:hAnsi="仿宋" w:eastAsia="仿宋_GB2312"/>
                <w:szCs w:val="21"/>
              </w:rPr>
            </w:pPr>
            <w:r>
              <w:rPr>
                <w:rFonts w:hint="eastAsia" w:ascii="仿宋_GB2312" w:hAnsi="仿宋" w:eastAsia="仿宋_GB2312"/>
                <w:szCs w:val="21"/>
              </w:rPr>
              <w:t>10</w:t>
            </w:r>
          </w:p>
        </w:tc>
        <w:tc>
          <w:tcPr>
            <w:tcW w:w="3969" w:type="dxa"/>
          </w:tcPr>
          <w:p w14:paraId="6F2B2319">
            <w:pPr>
              <w:spacing w:before="156" w:beforeLines="50" w:after="156" w:afterLines="50"/>
              <w:rPr>
                <w:rFonts w:ascii="仿宋_GB2312" w:hAnsi="仿宋" w:eastAsia="仿宋_GB2312"/>
                <w:szCs w:val="21"/>
              </w:rPr>
            </w:pPr>
            <w:r>
              <w:rPr>
                <w:rFonts w:hint="eastAsia" w:ascii="仿宋_GB2312" w:hAnsi="仿宋" w:eastAsia="仿宋_GB2312"/>
                <w:szCs w:val="21"/>
              </w:rPr>
              <w:t>有国外展会设计搭建经验，每搭建1次得2分，五家及以上得满分。</w:t>
            </w:r>
          </w:p>
        </w:tc>
        <w:tc>
          <w:tcPr>
            <w:tcW w:w="708" w:type="dxa"/>
          </w:tcPr>
          <w:p w14:paraId="64EE73BC">
            <w:pPr>
              <w:spacing w:before="156" w:beforeLines="50" w:after="156" w:afterLines="50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276" w:type="dxa"/>
          </w:tcPr>
          <w:p w14:paraId="2ADAE4AA">
            <w:pPr>
              <w:spacing w:before="156" w:beforeLines="50" w:after="156" w:afterLines="50"/>
              <w:rPr>
                <w:rFonts w:ascii="仿宋" w:hAnsi="仿宋" w:eastAsia="仿宋"/>
                <w:szCs w:val="21"/>
              </w:rPr>
            </w:pPr>
          </w:p>
        </w:tc>
      </w:tr>
      <w:tr w14:paraId="20EAE822">
        <w:trPr>
          <w:trHeight w:val="752" w:hRule="atLeast"/>
          <w:jc w:val="center"/>
        </w:trPr>
        <w:tc>
          <w:tcPr>
            <w:tcW w:w="1980" w:type="dxa"/>
            <w:vAlign w:val="center"/>
          </w:tcPr>
          <w:p w14:paraId="038D5607">
            <w:pPr>
              <w:spacing w:before="156" w:beforeLines="50" w:after="156" w:afterLines="50"/>
              <w:jc w:val="center"/>
              <w:rPr>
                <w:rFonts w:ascii="仿宋_GB2312" w:hAnsi="仿宋" w:eastAsia="仿宋_GB2312"/>
                <w:szCs w:val="21"/>
              </w:rPr>
            </w:pPr>
            <w:r>
              <w:rPr>
                <w:rFonts w:hint="eastAsia" w:ascii="仿宋_GB2312" w:hAnsi="仿宋" w:eastAsia="仿宋_GB2312"/>
                <w:szCs w:val="21"/>
              </w:rPr>
              <w:t>符合邀请函相关的设计规范</w:t>
            </w:r>
          </w:p>
        </w:tc>
        <w:tc>
          <w:tcPr>
            <w:tcW w:w="709" w:type="dxa"/>
            <w:vAlign w:val="center"/>
          </w:tcPr>
          <w:p w14:paraId="6029F4F3">
            <w:pPr>
              <w:spacing w:before="156" w:beforeLines="50" w:after="156" w:afterLines="50"/>
              <w:jc w:val="center"/>
              <w:rPr>
                <w:rFonts w:ascii="仿宋_GB2312" w:hAnsi="仿宋" w:eastAsia="仿宋_GB2312"/>
                <w:szCs w:val="21"/>
              </w:rPr>
            </w:pPr>
            <w:r>
              <w:rPr>
                <w:rFonts w:hint="eastAsia" w:ascii="仿宋_GB2312" w:hAnsi="仿宋" w:eastAsia="仿宋_GB2312"/>
                <w:szCs w:val="21"/>
              </w:rPr>
              <w:t>15</w:t>
            </w:r>
          </w:p>
        </w:tc>
        <w:tc>
          <w:tcPr>
            <w:tcW w:w="3969" w:type="dxa"/>
          </w:tcPr>
          <w:p w14:paraId="44A70723">
            <w:pPr>
              <w:spacing w:before="156" w:beforeLines="50" w:after="156" w:afterLines="50"/>
              <w:rPr>
                <w:rFonts w:ascii="仿宋_GB2312" w:hAnsi="仿宋" w:eastAsia="仿宋_GB2312"/>
                <w:szCs w:val="21"/>
              </w:rPr>
            </w:pPr>
            <w:r>
              <w:rPr>
                <w:rFonts w:hint="eastAsia" w:ascii="仿宋_GB2312" w:hAnsi="仿宋" w:eastAsia="仿宋_GB2312"/>
                <w:szCs w:val="21"/>
              </w:rPr>
              <w:t>符合展馆材料及施工要求，色调和谐、相称，展台明亮，基础设施设备齐全，宣传海报布局合理。</w:t>
            </w:r>
          </w:p>
        </w:tc>
        <w:tc>
          <w:tcPr>
            <w:tcW w:w="708" w:type="dxa"/>
          </w:tcPr>
          <w:p w14:paraId="56C9A307">
            <w:pPr>
              <w:spacing w:before="156" w:beforeLines="50" w:after="156" w:afterLines="50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276" w:type="dxa"/>
          </w:tcPr>
          <w:p w14:paraId="1080312B">
            <w:pPr>
              <w:spacing w:before="156" w:beforeLines="50" w:after="156" w:afterLines="50"/>
              <w:rPr>
                <w:rFonts w:ascii="仿宋" w:hAnsi="仿宋" w:eastAsia="仿宋"/>
                <w:szCs w:val="21"/>
              </w:rPr>
            </w:pPr>
          </w:p>
        </w:tc>
      </w:tr>
      <w:tr w14:paraId="76F49208">
        <w:trPr>
          <w:trHeight w:val="752" w:hRule="atLeast"/>
          <w:jc w:val="center"/>
        </w:trPr>
        <w:tc>
          <w:tcPr>
            <w:tcW w:w="1980" w:type="dxa"/>
            <w:vAlign w:val="center"/>
          </w:tcPr>
          <w:p w14:paraId="6ED82BF4">
            <w:pPr>
              <w:spacing w:before="156" w:beforeLines="50" w:after="156" w:afterLines="50"/>
              <w:jc w:val="center"/>
              <w:rPr>
                <w:rFonts w:ascii="仿宋_GB2312" w:hAnsi="仿宋" w:eastAsia="仿宋_GB2312"/>
                <w:szCs w:val="21"/>
              </w:rPr>
            </w:pPr>
            <w:r>
              <w:rPr>
                <w:rFonts w:hint="eastAsia" w:ascii="仿宋_GB2312" w:hAnsi="仿宋" w:eastAsia="仿宋_GB2312"/>
                <w:szCs w:val="21"/>
              </w:rPr>
              <w:t>设计方案整体效果</w:t>
            </w:r>
          </w:p>
        </w:tc>
        <w:tc>
          <w:tcPr>
            <w:tcW w:w="709" w:type="dxa"/>
            <w:vAlign w:val="center"/>
          </w:tcPr>
          <w:p w14:paraId="761B140B">
            <w:pPr>
              <w:spacing w:before="156" w:beforeLines="50" w:after="156" w:afterLines="50"/>
              <w:jc w:val="center"/>
              <w:rPr>
                <w:rFonts w:ascii="仿宋_GB2312" w:hAnsi="仿宋" w:eastAsia="仿宋_GB2312"/>
                <w:szCs w:val="21"/>
              </w:rPr>
            </w:pPr>
            <w:r>
              <w:rPr>
                <w:rFonts w:hint="eastAsia" w:ascii="仿宋_GB2312" w:hAnsi="仿宋" w:eastAsia="仿宋_GB2312"/>
                <w:szCs w:val="21"/>
              </w:rPr>
              <w:t>20</w:t>
            </w:r>
          </w:p>
        </w:tc>
        <w:tc>
          <w:tcPr>
            <w:tcW w:w="3969" w:type="dxa"/>
          </w:tcPr>
          <w:p w14:paraId="07DCD320">
            <w:pPr>
              <w:spacing w:before="156" w:beforeLines="50" w:after="156" w:afterLines="50"/>
              <w:rPr>
                <w:rFonts w:ascii="仿宋_GB2312" w:hAnsi="仿宋" w:eastAsia="仿宋_GB2312"/>
                <w:szCs w:val="21"/>
              </w:rPr>
            </w:pPr>
            <w:r>
              <w:rPr>
                <w:rFonts w:hint="eastAsia" w:ascii="仿宋_GB2312" w:hAnsi="仿宋" w:eastAsia="仿宋_GB2312"/>
                <w:szCs w:val="21"/>
              </w:rPr>
              <w:t>能够突出企业文化理念，布局合理，充分利用空间，进行功能划分，具有设计亮点。</w:t>
            </w:r>
          </w:p>
        </w:tc>
        <w:tc>
          <w:tcPr>
            <w:tcW w:w="708" w:type="dxa"/>
          </w:tcPr>
          <w:p w14:paraId="3D9C201B">
            <w:pPr>
              <w:spacing w:before="156" w:beforeLines="50" w:after="156" w:afterLines="50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276" w:type="dxa"/>
          </w:tcPr>
          <w:p w14:paraId="29888F77">
            <w:pPr>
              <w:spacing w:before="156" w:beforeLines="50" w:after="156" w:afterLines="50"/>
              <w:rPr>
                <w:rFonts w:ascii="仿宋" w:hAnsi="仿宋" w:eastAsia="仿宋"/>
                <w:szCs w:val="21"/>
              </w:rPr>
            </w:pPr>
          </w:p>
        </w:tc>
      </w:tr>
      <w:tr w14:paraId="11F68E9B">
        <w:trPr>
          <w:trHeight w:val="752" w:hRule="atLeast"/>
          <w:jc w:val="center"/>
        </w:trPr>
        <w:tc>
          <w:tcPr>
            <w:tcW w:w="1980" w:type="dxa"/>
            <w:vAlign w:val="center"/>
          </w:tcPr>
          <w:p w14:paraId="1F9339E4">
            <w:pPr>
              <w:spacing w:before="156" w:beforeLines="50" w:after="156" w:afterLines="50"/>
              <w:jc w:val="center"/>
              <w:rPr>
                <w:rFonts w:ascii="仿宋_GB2312" w:hAnsi="仿宋" w:eastAsia="仿宋_GB2312"/>
                <w:szCs w:val="21"/>
              </w:rPr>
            </w:pPr>
            <w:r>
              <w:rPr>
                <w:rFonts w:hint="eastAsia" w:ascii="仿宋_GB2312" w:hAnsi="仿宋" w:eastAsia="仿宋_GB2312"/>
                <w:szCs w:val="21"/>
              </w:rPr>
              <w:t>造价预算</w:t>
            </w:r>
          </w:p>
        </w:tc>
        <w:tc>
          <w:tcPr>
            <w:tcW w:w="709" w:type="dxa"/>
            <w:vAlign w:val="center"/>
          </w:tcPr>
          <w:p w14:paraId="6E209267">
            <w:pPr>
              <w:spacing w:before="156" w:beforeLines="50" w:after="156" w:afterLines="50"/>
              <w:jc w:val="center"/>
              <w:rPr>
                <w:rFonts w:ascii="仿宋_GB2312" w:hAnsi="仿宋" w:eastAsia="仿宋_GB2312"/>
                <w:szCs w:val="21"/>
              </w:rPr>
            </w:pPr>
            <w:r>
              <w:rPr>
                <w:rFonts w:ascii="仿宋_GB2312" w:hAnsi="仿宋" w:eastAsia="仿宋_GB2312"/>
                <w:szCs w:val="21"/>
              </w:rPr>
              <w:t>40</w:t>
            </w:r>
          </w:p>
        </w:tc>
        <w:tc>
          <w:tcPr>
            <w:tcW w:w="3969" w:type="dxa"/>
          </w:tcPr>
          <w:p w14:paraId="729D6A8F">
            <w:pPr>
              <w:spacing w:before="156" w:beforeLines="50" w:after="156" w:afterLines="50"/>
              <w:rPr>
                <w:rFonts w:ascii="仿宋_GB2312" w:hAnsi="仿宋" w:eastAsia="仿宋_GB2312"/>
                <w:szCs w:val="21"/>
              </w:rPr>
            </w:pPr>
            <w:r>
              <w:rPr>
                <w:rFonts w:hint="eastAsia" w:ascii="仿宋_GB2312" w:hAnsi="仿宋" w:eastAsia="仿宋_GB2312"/>
                <w:szCs w:val="21"/>
              </w:rPr>
              <w:t>在不高于资金最高预算的情况下，下降空间越大，评分越高。价格最低得满分，其余价格比最低价格每增加1%减去1分，最多减去20分，即：保底得分</w:t>
            </w:r>
            <w:r>
              <w:rPr>
                <w:rFonts w:ascii="仿宋_GB2312" w:hAnsi="仿宋" w:eastAsia="仿宋_GB2312"/>
                <w:szCs w:val="21"/>
              </w:rPr>
              <w:t>20</w:t>
            </w:r>
            <w:r>
              <w:rPr>
                <w:rFonts w:hint="eastAsia" w:ascii="仿宋_GB2312" w:hAnsi="仿宋" w:eastAsia="仿宋_GB2312"/>
                <w:szCs w:val="21"/>
              </w:rPr>
              <w:t>分。</w:t>
            </w:r>
          </w:p>
        </w:tc>
        <w:tc>
          <w:tcPr>
            <w:tcW w:w="708" w:type="dxa"/>
          </w:tcPr>
          <w:p w14:paraId="1C0DD495">
            <w:pPr>
              <w:spacing w:before="156" w:beforeLines="50" w:after="156" w:afterLines="50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276" w:type="dxa"/>
          </w:tcPr>
          <w:p w14:paraId="59A10981">
            <w:pPr>
              <w:spacing w:before="156" w:beforeLines="50" w:after="156" w:afterLines="50"/>
              <w:rPr>
                <w:rFonts w:ascii="仿宋" w:hAnsi="仿宋" w:eastAsia="仿宋"/>
                <w:szCs w:val="21"/>
              </w:rPr>
            </w:pPr>
          </w:p>
        </w:tc>
      </w:tr>
      <w:tr w14:paraId="4EF008B1">
        <w:trPr>
          <w:trHeight w:val="752" w:hRule="atLeast"/>
          <w:jc w:val="center"/>
        </w:trPr>
        <w:tc>
          <w:tcPr>
            <w:tcW w:w="1980" w:type="dxa"/>
            <w:vAlign w:val="center"/>
          </w:tcPr>
          <w:p w14:paraId="54F25B1F">
            <w:pPr>
              <w:spacing w:before="156" w:beforeLines="50" w:after="156" w:afterLines="50"/>
              <w:jc w:val="center"/>
              <w:rPr>
                <w:rFonts w:ascii="仿宋_GB2312" w:hAnsi="仿宋" w:eastAsia="仿宋_GB2312"/>
                <w:szCs w:val="21"/>
              </w:rPr>
            </w:pPr>
            <w:r>
              <w:rPr>
                <w:rFonts w:hint="eastAsia" w:ascii="仿宋_GB2312" w:hAnsi="仿宋" w:eastAsia="仿宋_GB2312"/>
                <w:szCs w:val="21"/>
              </w:rPr>
              <w:t>首付款比例</w:t>
            </w:r>
          </w:p>
        </w:tc>
        <w:tc>
          <w:tcPr>
            <w:tcW w:w="709" w:type="dxa"/>
            <w:vAlign w:val="center"/>
          </w:tcPr>
          <w:p w14:paraId="709E84BB">
            <w:pPr>
              <w:spacing w:before="156" w:beforeLines="50" w:after="156" w:afterLines="50"/>
              <w:jc w:val="center"/>
              <w:rPr>
                <w:rFonts w:ascii="仿宋_GB2312" w:hAnsi="仿宋" w:eastAsia="仿宋_GB2312"/>
                <w:szCs w:val="21"/>
              </w:rPr>
            </w:pPr>
            <w:r>
              <w:rPr>
                <w:rFonts w:ascii="仿宋_GB2312" w:hAnsi="仿宋" w:eastAsia="仿宋_GB2312"/>
                <w:szCs w:val="21"/>
              </w:rPr>
              <w:t>10</w:t>
            </w:r>
          </w:p>
        </w:tc>
        <w:tc>
          <w:tcPr>
            <w:tcW w:w="3969" w:type="dxa"/>
          </w:tcPr>
          <w:p w14:paraId="0C56FD49">
            <w:pPr>
              <w:spacing w:before="156" w:beforeLines="50" w:after="156" w:afterLines="50"/>
              <w:rPr>
                <w:rFonts w:ascii="仿宋_GB2312" w:hAnsi="仿宋" w:eastAsia="仿宋_GB2312"/>
                <w:szCs w:val="21"/>
              </w:rPr>
            </w:pPr>
            <w:r>
              <w:rPr>
                <w:rFonts w:hint="eastAsia" w:ascii="仿宋_GB2312" w:hAnsi="仿宋" w:eastAsia="仿宋_GB2312"/>
                <w:szCs w:val="21"/>
              </w:rPr>
              <w:t>按首付款比例计算得分，首付款1</w:t>
            </w:r>
            <w:r>
              <w:rPr>
                <w:rFonts w:ascii="仿宋_GB2312" w:hAnsi="仿宋" w:eastAsia="仿宋_GB2312"/>
                <w:szCs w:val="21"/>
              </w:rPr>
              <w:t>00%</w:t>
            </w:r>
            <w:r>
              <w:rPr>
                <w:rFonts w:hint="eastAsia" w:ascii="仿宋_GB2312" w:hAnsi="仿宋" w:eastAsia="仿宋_GB2312"/>
                <w:szCs w:val="21"/>
              </w:rPr>
              <w:t>得0分，首付款9</w:t>
            </w:r>
            <w:r>
              <w:rPr>
                <w:rFonts w:ascii="仿宋_GB2312" w:hAnsi="仿宋" w:eastAsia="仿宋_GB2312"/>
                <w:szCs w:val="21"/>
              </w:rPr>
              <w:t>0%</w:t>
            </w:r>
            <w:r>
              <w:rPr>
                <w:rFonts w:hint="eastAsia" w:ascii="仿宋_GB2312" w:hAnsi="仿宋" w:eastAsia="仿宋_GB2312"/>
                <w:szCs w:val="21"/>
              </w:rPr>
              <w:t>得1分，首付款</w:t>
            </w:r>
            <w:r>
              <w:rPr>
                <w:rFonts w:ascii="仿宋_GB2312" w:hAnsi="仿宋" w:eastAsia="仿宋_GB2312"/>
                <w:szCs w:val="21"/>
              </w:rPr>
              <w:t>80%</w:t>
            </w:r>
            <w:r>
              <w:rPr>
                <w:rFonts w:hint="eastAsia" w:ascii="仿宋_GB2312" w:hAnsi="仿宋" w:eastAsia="仿宋_GB2312"/>
                <w:szCs w:val="21"/>
              </w:rPr>
              <w:t>得</w:t>
            </w:r>
            <w:r>
              <w:rPr>
                <w:rFonts w:ascii="仿宋_GB2312" w:hAnsi="仿宋" w:eastAsia="仿宋_GB2312"/>
                <w:szCs w:val="21"/>
              </w:rPr>
              <w:t>2</w:t>
            </w:r>
            <w:r>
              <w:rPr>
                <w:rFonts w:hint="eastAsia" w:ascii="仿宋_GB2312" w:hAnsi="仿宋" w:eastAsia="仿宋_GB2312"/>
                <w:szCs w:val="21"/>
              </w:rPr>
              <w:t>分，以此类推。</w:t>
            </w:r>
          </w:p>
        </w:tc>
        <w:tc>
          <w:tcPr>
            <w:tcW w:w="708" w:type="dxa"/>
          </w:tcPr>
          <w:p w14:paraId="003F9D09">
            <w:pPr>
              <w:spacing w:before="156" w:beforeLines="50" w:after="156" w:afterLines="50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276" w:type="dxa"/>
          </w:tcPr>
          <w:p w14:paraId="237808A3">
            <w:pPr>
              <w:spacing w:before="156" w:beforeLines="50" w:after="156" w:afterLines="50"/>
              <w:rPr>
                <w:rFonts w:ascii="仿宋" w:hAnsi="仿宋" w:eastAsia="仿宋"/>
                <w:szCs w:val="21"/>
              </w:rPr>
            </w:pPr>
          </w:p>
        </w:tc>
      </w:tr>
      <w:tr w14:paraId="51840C59">
        <w:trPr>
          <w:trHeight w:val="765" w:hRule="atLeast"/>
          <w:jc w:val="center"/>
        </w:trPr>
        <w:tc>
          <w:tcPr>
            <w:tcW w:w="1980" w:type="dxa"/>
            <w:vAlign w:val="center"/>
          </w:tcPr>
          <w:p w14:paraId="3AC983A3">
            <w:pPr>
              <w:spacing w:before="156" w:beforeLines="50" w:after="156" w:afterLines="50"/>
              <w:jc w:val="center"/>
              <w:rPr>
                <w:rFonts w:ascii="仿宋_GB2312" w:hAnsi="仿宋" w:eastAsia="仿宋_GB2312"/>
                <w:szCs w:val="21"/>
              </w:rPr>
            </w:pPr>
            <w:r>
              <w:rPr>
                <w:rFonts w:hint="eastAsia" w:ascii="仿宋_GB2312" w:hAnsi="仿宋" w:eastAsia="仿宋_GB2312"/>
                <w:szCs w:val="21"/>
              </w:rPr>
              <w:t>合计</w:t>
            </w:r>
          </w:p>
        </w:tc>
        <w:tc>
          <w:tcPr>
            <w:tcW w:w="709" w:type="dxa"/>
            <w:vAlign w:val="center"/>
          </w:tcPr>
          <w:p w14:paraId="5FCBC7F3">
            <w:pPr>
              <w:spacing w:before="156" w:beforeLines="50" w:after="156" w:afterLines="50"/>
              <w:jc w:val="center"/>
              <w:rPr>
                <w:rFonts w:ascii="仿宋_GB2312" w:hAnsi="仿宋" w:eastAsia="仿宋_GB2312"/>
                <w:szCs w:val="21"/>
              </w:rPr>
            </w:pPr>
            <w:r>
              <w:rPr>
                <w:rFonts w:hint="eastAsia" w:ascii="仿宋_GB2312" w:hAnsi="仿宋" w:eastAsia="仿宋_GB2312"/>
                <w:szCs w:val="21"/>
              </w:rPr>
              <w:t>100</w:t>
            </w:r>
          </w:p>
        </w:tc>
        <w:tc>
          <w:tcPr>
            <w:tcW w:w="3969" w:type="dxa"/>
          </w:tcPr>
          <w:p w14:paraId="27C296E9">
            <w:pPr>
              <w:spacing w:before="156" w:beforeLines="50" w:after="156" w:afterLines="50"/>
              <w:rPr>
                <w:rFonts w:ascii="仿宋_GB2312" w:hAnsi="仿宋" w:eastAsia="仿宋_GB2312"/>
                <w:szCs w:val="21"/>
              </w:rPr>
            </w:pPr>
          </w:p>
        </w:tc>
        <w:tc>
          <w:tcPr>
            <w:tcW w:w="708" w:type="dxa"/>
          </w:tcPr>
          <w:p w14:paraId="6F24361E">
            <w:pPr>
              <w:spacing w:before="156" w:beforeLines="50" w:after="156" w:afterLines="50"/>
              <w:rPr>
                <w:rFonts w:ascii="仿宋" w:hAnsi="仿宋" w:eastAsia="仿宋"/>
                <w:szCs w:val="21"/>
              </w:rPr>
            </w:pPr>
          </w:p>
        </w:tc>
        <w:tc>
          <w:tcPr>
            <w:tcW w:w="1276" w:type="dxa"/>
          </w:tcPr>
          <w:p w14:paraId="5B3D160E">
            <w:pPr>
              <w:spacing w:before="156" w:beforeLines="50" w:after="156" w:afterLines="50"/>
              <w:rPr>
                <w:rFonts w:ascii="仿宋" w:hAnsi="仿宋" w:eastAsia="仿宋"/>
                <w:szCs w:val="21"/>
              </w:rPr>
            </w:pPr>
          </w:p>
        </w:tc>
      </w:tr>
    </w:tbl>
    <w:p w14:paraId="51DA966F">
      <w:pPr>
        <w:rPr>
          <w:rFonts w:ascii="黑体" w:hAnsi="黑体" w:eastAsia="黑体" w:cs="仿宋"/>
          <w:sz w:val="32"/>
          <w:szCs w:val="32"/>
          <w:lang w:eastAsia="zh-Hans"/>
        </w:rPr>
      </w:pPr>
    </w:p>
    <w:sectPr>
      <w:pgSz w:w="11906" w:h="16838"/>
      <w:pgMar w:top="2098" w:right="1474" w:bottom="1701" w:left="1588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704020202090204"/>
    <w:charset w:val="00"/>
    <w:family w:val="swiss"/>
    <w:pitch w:val="default"/>
    <w:sig w:usb0="E0000AFF" w:usb1="00007843" w:usb2="00000001" w:usb3="00000000" w:csb0="400001BF" w:csb1="DFF7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黑体">
    <w:altName w:val="汉仪中黑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1"/>
  <w:bordersDoNotSurroundFooter w:val="1"/>
  <w:documentProtection w:enforcement="0"/>
  <w:defaultTabStop w:val="420"/>
  <w:drawingGridVerticalSpacing w:val="156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llYzJiMTlhNTA5MmUyOTYyOGJkMTNiZjE0ODRiZmUifQ=="/>
  </w:docVars>
  <w:rsids>
    <w:rsidRoot w:val="00AA38A6"/>
    <w:rsid w:val="000330D4"/>
    <w:rsid w:val="0004055F"/>
    <w:rsid w:val="00045EEB"/>
    <w:rsid w:val="00050E64"/>
    <w:rsid w:val="0005322E"/>
    <w:rsid w:val="0005358B"/>
    <w:rsid w:val="00086D48"/>
    <w:rsid w:val="00097B33"/>
    <w:rsid w:val="000D3136"/>
    <w:rsid w:val="000E6788"/>
    <w:rsid w:val="000F19E3"/>
    <w:rsid w:val="000F39CB"/>
    <w:rsid w:val="00110B20"/>
    <w:rsid w:val="0012067F"/>
    <w:rsid w:val="00124285"/>
    <w:rsid w:val="0012450F"/>
    <w:rsid w:val="001446F7"/>
    <w:rsid w:val="001448E5"/>
    <w:rsid w:val="00152D1D"/>
    <w:rsid w:val="00173D1C"/>
    <w:rsid w:val="00182BDC"/>
    <w:rsid w:val="001A4550"/>
    <w:rsid w:val="001C2E7C"/>
    <w:rsid w:val="001C3C31"/>
    <w:rsid w:val="001D36CD"/>
    <w:rsid w:val="00214690"/>
    <w:rsid w:val="00226A32"/>
    <w:rsid w:val="00241247"/>
    <w:rsid w:val="00244202"/>
    <w:rsid w:val="00270D9C"/>
    <w:rsid w:val="00277BD5"/>
    <w:rsid w:val="0028086F"/>
    <w:rsid w:val="002A55B6"/>
    <w:rsid w:val="002B3506"/>
    <w:rsid w:val="002B39EA"/>
    <w:rsid w:val="002B5718"/>
    <w:rsid w:val="002C6AEE"/>
    <w:rsid w:val="002D1EB0"/>
    <w:rsid w:val="002D6F81"/>
    <w:rsid w:val="002E2A38"/>
    <w:rsid w:val="002E79B4"/>
    <w:rsid w:val="002F35D9"/>
    <w:rsid w:val="002F39BA"/>
    <w:rsid w:val="0030027B"/>
    <w:rsid w:val="00305746"/>
    <w:rsid w:val="00332987"/>
    <w:rsid w:val="00332BF3"/>
    <w:rsid w:val="00334ED3"/>
    <w:rsid w:val="00357390"/>
    <w:rsid w:val="00360BF9"/>
    <w:rsid w:val="00367E52"/>
    <w:rsid w:val="003A6889"/>
    <w:rsid w:val="003A7FA6"/>
    <w:rsid w:val="0040632E"/>
    <w:rsid w:val="00424A58"/>
    <w:rsid w:val="004338AC"/>
    <w:rsid w:val="00434FA3"/>
    <w:rsid w:val="00467866"/>
    <w:rsid w:val="00471A1A"/>
    <w:rsid w:val="00474BA7"/>
    <w:rsid w:val="004843A5"/>
    <w:rsid w:val="004A21C0"/>
    <w:rsid w:val="004A5F96"/>
    <w:rsid w:val="004B0FDC"/>
    <w:rsid w:val="004B1B08"/>
    <w:rsid w:val="004C0334"/>
    <w:rsid w:val="004C6FA8"/>
    <w:rsid w:val="004C7FC3"/>
    <w:rsid w:val="004D573D"/>
    <w:rsid w:val="004E6419"/>
    <w:rsid w:val="004F567C"/>
    <w:rsid w:val="004F7D6C"/>
    <w:rsid w:val="0052162D"/>
    <w:rsid w:val="00544405"/>
    <w:rsid w:val="00552EF7"/>
    <w:rsid w:val="005925A6"/>
    <w:rsid w:val="005A1DE0"/>
    <w:rsid w:val="005A4578"/>
    <w:rsid w:val="005A5FEA"/>
    <w:rsid w:val="005B229F"/>
    <w:rsid w:val="005B286B"/>
    <w:rsid w:val="005D613D"/>
    <w:rsid w:val="005E271A"/>
    <w:rsid w:val="005E620B"/>
    <w:rsid w:val="005F47BE"/>
    <w:rsid w:val="005F5D81"/>
    <w:rsid w:val="005F78D5"/>
    <w:rsid w:val="00607085"/>
    <w:rsid w:val="0063549A"/>
    <w:rsid w:val="006471C1"/>
    <w:rsid w:val="00653A3F"/>
    <w:rsid w:val="006562DB"/>
    <w:rsid w:val="006838A4"/>
    <w:rsid w:val="006D0AF4"/>
    <w:rsid w:val="006E5FB0"/>
    <w:rsid w:val="006F2B2A"/>
    <w:rsid w:val="006F2EF1"/>
    <w:rsid w:val="0072561D"/>
    <w:rsid w:val="00725CB6"/>
    <w:rsid w:val="0072669C"/>
    <w:rsid w:val="00727B88"/>
    <w:rsid w:val="007A5D1D"/>
    <w:rsid w:val="007B07FD"/>
    <w:rsid w:val="007D008C"/>
    <w:rsid w:val="007F6488"/>
    <w:rsid w:val="00840B8F"/>
    <w:rsid w:val="00845C87"/>
    <w:rsid w:val="00850376"/>
    <w:rsid w:val="008609A7"/>
    <w:rsid w:val="0087020B"/>
    <w:rsid w:val="00871C48"/>
    <w:rsid w:val="00883E95"/>
    <w:rsid w:val="00895506"/>
    <w:rsid w:val="008B7DA7"/>
    <w:rsid w:val="008E0FBA"/>
    <w:rsid w:val="008E5692"/>
    <w:rsid w:val="008F2152"/>
    <w:rsid w:val="008F349C"/>
    <w:rsid w:val="008F5EC6"/>
    <w:rsid w:val="00905B0D"/>
    <w:rsid w:val="009124EA"/>
    <w:rsid w:val="00940B66"/>
    <w:rsid w:val="009528DF"/>
    <w:rsid w:val="00955795"/>
    <w:rsid w:val="00990F8E"/>
    <w:rsid w:val="0099792D"/>
    <w:rsid w:val="009A32AF"/>
    <w:rsid w:val="009B4C4B"/>
    <w:rsid w:val="009E0B3B"/>
    <w:rsid w:val="009E2D31"/>
    <w:rsid w:val="00A10B94"/>
    <w:rsid w:val="00A1144E"/>
    <w:rsid w:val="00A118A9"/>
    <w:rsid w:val="00A47595"/>
    <w:rsid w:val="00A61AED"/>
    <w:rsid w:val="00A63A88"/>
    <w:rsid w:val="00A65F03"/>
    <w:rsid w:val="00A6678B"/>
    <w:rsid w:val="00A7690C"/>
    <w:rsid w:val="00AA38A6"/>
    <w:rsid w:val="00AA5DC9"/>
    <w:rsid w:val="00AA6166"/>
    <w:rsid w:val="00AC2D79"/>
    <w:rsid w:val="00AD1158"/>
    <w:rsid w:val="00AF3198"/>
    <w:rsid w:val="00B0736C"/>
    <w:rsid w:val="00B21E89"/>
    <w:rsid w:val="00B31DFB"/>
    <w:rsid w:val="00B753C7"/>
    <w:rsid w:val="00B81DE4"/>
    <w:rsid w:val="00B878EC"/>
    <w:rsid w:val="00B91FB4"/>
    <w:rsid w:val="00B92C32"/>
    <w:rsid w:val="00B9793F"/>
    <w:rsid w:val="00BA0B47"/>
    <w:rsid w:val="00BB7236"/>
    <w:rsid w:val="00BC7E17"/>
    <w:rsid w:val="00BE0188"/>
    <w:rsid w:val="00BE2BDA"/>
    <w:rsid w:val="00BE6AE9"/>
    <w:rsid w:val="00C05343"/>
    <w:rsid w:val="00C06F87"/>
    <w:rsid w:val="00C26826"/>
    <w:rsid w:val="00C27EA4"/>
    <w:rsid w:val="00C3073D"/>
    <w:rsid w:val="00C42E8F"/>
    <w:rsid w:val="00C46983"/>
    <w:rsid w:val="00C51055"/>
    <w:rsid w:val="00C54027"/>
    <w:rsid w:val="00C71175"/>
    <w:rsid w:val="00C74FD8"/>
    <w:rsid w:val="00C75A0B"/>
    <w:rsid w:val="00C826F9"/>
    <w:rsid w:val="00C9526E"/>
    <w:rsid w:val="00C9699D"/>
    <w:rsid w:val="00CA4CF4"/>
    <w:rsid w:val="00CA594A"/>
    <w:rsid w:val="00CA78CC"/>
    <w:rsid w:val="00CC439F"/>
    <w:rsid w:val="00CE1820"/>
    <w:rsid w:val="00CE5DF7"/>
    <w:rsid w:val="00CF03EA"/>
    <w:rsid w:val="00CF45D3"/>
    <w:rsid w:val="00D10C2A"/>
    <w:rsid w:val="00D1635C"/>
    <w:rsid w:val="00D311FE"/>
    <w:rsid w:val="00D351E8"/>
    <w:rsid w:val="00D368BB"/>
    <w:rsid w:val="00D57D8E"/>
    <w:rsid w:val="00D61A05"/>
    <w:rsid w:val="00D828BE"/>
    <w:rsid w:val="00DB2E5E"/>
    <w:rsid w:val="00DB51CE"/>
    <w:rsid w:val="00DD0DAB"/>
    <w:rsid w:val="00DE36C9"/>
    <w:rsid w:val="00E16A5F"/>
    <w:rsid w:val="00E43FC0"/>
    <w:rsid w:val="00E55707"/>
    <w:rsid w:val="00E76C08"/>
    <w:rsid w:val="00E80095"/>
    <w:rsid w:val="00E96668"/>
    <w:rsid w:val="00E97180"/>
    <w:rsid w:val="00EB01CA"/>
    <w:rsid w:val="00EC574E"/>
    <w:rsid w:val="00ED3333"/>
    <w:rsid w:val="00ED3CB9"/>
    <w:rsid w:val="00EE05E0"/>
    <w:rsid w:val="00EE66AE"/>
    <w:rsid w:val="00EF5214"/>
    <w:rsid w:val="00F11B19"/>
    <w:rsid w:val="00F45BBC"/>
    <w:rsid w:val="00F54C7B"/>
    <w:rsid w:val="00F67E57"/>
    <w:rsid w:val="00F830E8"/>
    <w:rsid w:val="00F92452"/>
    <w:rsid w:val="00F96B8B"/>
    <w:rsid w:val="00FC0752"/>
    <w:rsid w:val="00FC3611"/>
    <w:rsid w:val="00FC7374"/>
    <w:rsid w:val="00FD7BE6"/>
    <w:rsid w:val="00FE0B30"/>
    <w:rsid w:val="00FE5BDB"/>
    <w:rsid w:val="02AD46CA"/>
    <w:rsid w:val="0D693A6A"/>
    <w:rsid w:val="10225A71"/>
    <w:rsid w:val="296A40CE"/>
    <w:rsid w:val="35B967BE"/>
    <w:rsid w:val="372E3618"/>
    <w:rsid w:val="3A366EB1"/>
    <w:rsid w:val="3BC01EF9"/>
    <w:rsid w:val="3E9E4B0F"/>
    <w:rsid w:val="3EA15DD7"/>
    <w:rsid w:val="3EEC5159"/>
    <w:rsid w:val="40E523D3"/>
    <w:rsid w:val="41B9432C"/>
    <w:rsid w:val="43932EE3"/>
    <w:rsid w:val="49DE7088"/>
    <w:rsid w:val="4B576707"/>
    <w:rsid w:val="53A2046B"/>
    <w:rsid w:val="542E4E0C"/>
    <w:rsid w:val="554254B4"/>
    <w:rsid w:val="554A3D3D"/>
    <w:rsid w:val="55F1432B"/>
    <w:rsid w:val="58F56C22"/>
    <w:rsid w:val="5903075F"/>
    <w:rsid w:val="6AF11C84"/>
    <w:rsid w:val="6B1C27D9"/>
    <w:rsid w:val="6B374940"/>
    <w:rsid w:val="6F371BAA"/>
    <w:rsid w:val="71B155D7"/>
    <w:rsid w:val="733B14E6"/>
    <w:rsid w:val="77FF7DB6"/>
    <w:rsid w:val="7B8F027F"/>
    <w:rsid w:val="7DD9429C"/>
    <w:rsid w:val="7F5E6D28"/>
    <w:rsid w:val="BEB55BF3"/>
    <w:rsid w:val="FFFD3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FollowedHyperlink"/>
    <w:basedOn w:val="6"/>
    <w:semiHidden/>
    <w:unhideWhenUsed/>
    <w:qFormat/>
    <w:uiPriority w:val="99"/>
    <w:rPr>
      <w:color w:val="3399CC"/>
      <w:u w:val="none"/>
    </w:rPr>
  </w:style>
  <w:style w:type="character" w:styleId="8">
    <w:name w:val="Hyperlink"/>
    <w:basedOn w:val="6"/>
    <w:unhideWhenUsed/>
    <w:qFormat/>
    <w:uiPriority w:val="99"/>
    <w:rPr>
      <w:color w:val="009900"/>
      <w:u w:val="none"/>
    </w:rPr>
  </w:style>
  <w:style w:type="character" w:customStyle="1" w:styleId="9">
    <w:name w:val="页眉 字符"/>
    <w:basedOn w:val="6"/>
    <w:link w:val="3"/>
    <w:qFormat/>
    <w:uiPriority w:val="99"/>
    <w:rPr>
      <w:kern w:val="2"/>
      <w:sz w:val="18"/>
      <w:szCs w:val="18"/>
    </w:rPr>
  </w:style>
  <w:style w:type="character" w:customStyle="1" w:styleId="10">
    <w:name w:val="页脚 字符"/>
    <w:basedOn w:val="6"/>
    <w:link w:val="2"/>
    <w:qFormat/>
    <w:uiPriority w:val="99"/>
    <w:rPr>
      <w:kern w:val="2"/>
      <w:sz w:val="18"/>
      <w:szCs w:val="18"/>
    </w:rPr>
  </w:style>
  <w:style w:type="paragraph" w:styleId="11">
    <w:name w:val="List Paragraph"/>
    <w:basedOn w:val="1"/>
    <w:qFormat/>
    <w:uiPriority w:val="99"/>
    <w:pPr>
      <w:ind w:firstLine="420" w:firstLineChars="200"/>
    </w:pPr>
  </w:style>
  <w:style w:type="paragraph" w:customStyle="1" w:styleId="12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ascii="Calibri" w:hAnsi="Calibri" w:eastAsia="仿宋_GB2312"/>
      <w:kern w:val="0"/>
      <w:sz w:val="32"/>
    </w:rPr>
  </w:style>
  <w:style w:type="character" w:customStyle="1" w:styleId="13">
    <w:name w:val="未处理的提及1"/>
    <w:basedOn w:val="6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14">
    <w:name w:val="Unresolved Mention"/>
    <w:basedOn w:val="6"/>
    <w:semiHidden/>
    <w:unhideWhenUsed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?? ??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?? ??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http://www.deepbbs.org</Company>
  <Pages>1</Pages>
  <Words>258</Words>
  <Characters>1473</Characters>
  <Lines>12</Lines>
  <Paragraphs>3</Paragraphs>
  <TotalTime>517</TotalTime>
  <ScaleCrop>false</ScaleCrop>
  <LinksUpToDate>false</LinksUpToDate>
  <CharactersWithSpaces>1728</CharactersWithSpaces>
  <Application>WPS Office_12.1.25895.25895_F1E327BC-269C-435d-A152-05C5408002CA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2023-03-16T13:42:00Z</dcterms:created>
  <dc:creator>deeplm</dc:creator>
  <cp:lastModifiedBy>王旭东北制药</cp:lastModifiedBy>
  <cp:lastPrinted>2023-07-05T22:58:00Z</cp:lastPrinted>
  <dcterms:modified xsi:type="dcterms:W3CDTF">2026-07-07T18:25:53Z</dcterms:modified>
  <cp:revision>74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2052-12.1.25895.25895</vt:lpwstr>
  </property>
  <property fmtid="{D5CDD505-2E9C-101B-9397-08002B2CF9AE}" pid="3" name="ICV">
    <vt:lpwstr>382B2D9A253F4AAC9C26F7401F5A0F44</vt:lpwstr>
  </property>
</Properties>
</file>