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DD4CD">
      <w:pPr>
        <w:spacing w:before="156" w:beforeLines="50" w:after="156" w:afterLines="50" w:line="560" w:lineRule="exact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附件</w:t>
      </w:r>
    </w:p>
    <w:p w14:paraId="35D1E1D5">
      <w:pPr>
        <w:spacing w:before="156" w:beforeLines="50" w:after="156" w:afterLines="50" w:line="240" w:lineRule="exact"/>
        <w:rPr>
          <w:rFonts w:ascii="宋体" w:hAnsi="宋体"/>
          <w:b/>
          <w:bCs/>
          <w:sz w:val="32"/>
          <w:szCs w:val="32"/>
        </w:rPr>
      </w:pPr>
    </w:p>
    <w:p w14:paraId="2ED981EF"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小标宋" w:hAnsi="黑体" w:eastAsia="小标宋"/>
          <w:sz w:val="44"/>
          <w:szCs w:val="44"/>
        </w:rPr>
        <w:t>项目综合审评表</w:t>
      </w:r>
    </w:p>
    <w:bookmarkEnd w:id="0"/>
    <w:tbl>
      <w:tblPr>
        <w:tblStyle w:val="2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709"/>
        <w:gridCol w:w="3969"/>
        <w:gridCol w:w="708"/>
        <w:gridCol w:w="1276"/>
      </w:tblGrid>
      <w:tr w14:paraId="1AB7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980" w:type="dxa"/>
          </w:tcPr>
          <w:p w14:paraId="695A6FE9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b/>
                <w:bCs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bCs/>
                <w:szCs w:val="21"/>
              </w:rPr>
              <w:t>分项内容</w:t>
            </w:r>
          </w:p>
        </w:tc>
        <w:tc>
          <w:tcPr>
            <w:tcW w:w="709" w:type="dxa"/>
          </w:tcPr>
          <w:p w14:paraId="4D841F6D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b/>
                <w:bCs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bCs/>
                <w:szCs w:val="21"/>
              </w:rPr>
              <w:t>分值</w:t>
            </w:r>
          </w:p>
        </w:tc>
        <w:tc>
          <w:tcPr>
            <w:tcW w:w="3969" w:type="dxa"/>
          </w:tcPr>
          <w:p w14:paraId="60B67402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b/>
                <w:bCs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bCs/>
                <w:szCs w:val="21"/>
              </w:rPr>
              <w:t>评分标准</w:t>
            </w:r>
          </w:p>
        </w:tc>
        <w:tc>
          <w:tcPr>
            <w:tcW w:w="708" w:type="dxa"/>
          </w:tcPr>
          <w:p w14:paraId="528D61A5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b/>
                <w:bCs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bCs/>
                <w:szCs w:val="21"/>
              </w:rPr>
              <w:t>得分</w:t>
            </w:r>
          </w:p>
        </w:tc>
        <w:tc>
          <w:tcPr>
            <w:tcW w:w="1276" w:type="dxa"/>
          </w:tcPr>
          <w:p w14:paraId="14E7C685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b/>
                <w:bCs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bCs/>
                <w:szCs w:val="21"/>
              </w:rPr>
              <w:t>评分依据</w:t>
            </w:r>
          </w:p>
        </w:tc>
      </w:tr>
      <w:tr w14:paraId="5AFE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980" w:type="dxa"/>
            <w:vAlign w:val="center"/>
          </w:tcPr>
          <w:p w14:paraId="0E8476E3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资料审核</w:t>
            </w:r>
          </w:p>
        </w:tc>
        <w:tc>
          <w:tcPr>
            <w:tcW w:w="709" w:type="dxa"/>
            <w:vAlign w:val="center"/>
          </w:tcPr>
          <w:p w14:paraId="0AD1A3BB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5</w:t>
            </w:r>
          </w:p>
        </w:tc>
        <w:tc>
          <w:tcPr>
            <w:tcW w:w="3969" w:type="dxa"/>
          </w:tcPr>
          <w:p w14:paraId="2782F86E">
            <w:pPr>
              <w:spacing w:before="156" w:beforeLines="50" w:after="156" w:afterLines="50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按要求资料齐全、整理有序。</w:t>
            </w:r>
          </w:p>
        </w:tc>
        <w:tc>
          <w:tcPr>
            <w:tcW w:w="708" w:type="dxa"/>
          </w:tcPr>
          <w:p w14:paraId="66814FFA">
            <w:pPr>
              <w:spacing w:before="156" w:beforeLines="50" w:after="156" w:afterLines="5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 w14:paraId="09E6169F">
            <w:pPr>
              <w:spacing w:before="156" w:beforeLines="50" w:after="156" w:afterLines="50"/>
              <w:rPr>
                <w:rFonts w:ascii="仿宋" w:hAnsi="仿宋" w:eastAsia="仿宋"/>
                <w:szCs w:val="21"/>
              </w:rPr>
            </w:pPr>
          </w:p>
        </w:tc>
      </w:tr>
      <w:tr w14:paraId="2A832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980" w:type="dxa"/>
            <w:vAlign w:val="center"/>
          </w:tcPr>
          <w:p w14:paraId="6FCED7E7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搭建经验</w:t>
            </w:r>
          </w:p>
        </w:tc>
        <w:tc>
          <w:tcPr>
            <w:tcW w:w="709" w:type="dxa"/>
            <w:vAlign w:val="center"/>
          </w:tcPr>
          <w:p w14:paraId="6D3D9933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10</w:t>
            </w:r>
          </w:p>
        </w:tc>
        <w:tc>
          <w:tcPr>
            <w:tcW w:w="3969" w:type="dxa"/>
          </w:tcPr>
          <w:p w14:paraId="6F2B2319">
            <w:pPr>
              <w:spacing w:before="156" w:beforeLines="50" w:after="156" w:afterLines="50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有药品、食品企业设计搭建合作经验，每合作一家得2分，五家及以上得满分。</w:t>
            </w:r>
          </w:p>
        </w:tc>
        <w:tc>
          <w:tcPr>
            <w:tcW w:w="708" w:type="dxa"/>
          </w:tcPr>
          <w:p w14:paraId="64EE73BC">
            <w:pPr>
              <w:spacing w:before="156" w:beforeLines="50" w:after="156" w:afterLines="5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 w14:paraId="2ADAE4AA">
            <w:pPr>
              <w:spacing w:before="156" w:beforeLines="50" w:after="156" w:afterLines="50"/>
              <w:rPr>
                <w:rFonts w:ascii="仿宋" w:hAnsi="仿宋" w:eastAsia="仿宋"/>
                <w:szCs w:val="21"/>
              </w:rPr>
            </w:pPr>
          </w:p>
        </w:tc>
      </w:tr>
      <w:tr w14:paraId="20EAE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980" w:type="dxa"/>
            <w:vAlign w:val="center"/>
          </w:tcPr>
          <w:p w14:paraId="038D5607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符合邀请函相关的设计规范</w:t>
            </w:r>
          </w:p>
        </w:tc>
        <w:tc>
          <w:tcPr>
            <w:tcW w:w="709" w:type="dxa"/>
            <w:vAlign w:val="center"/>
          </w:tcPr>
          <w:p w14:paraId="6029F4F3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15</w:t>
            </w:r>
          </w:p>
        </w:tc>
        <w:tc>
          <w:tcPr>
            <w:tcW w:w="3969" w:type="dxa"/>
          </w:tcPr>
          <w:p w14:paraId="44A70723">
            <w:pPr>
              <w:spacing w:before="156" w:beforeLines="50" w:after="156" w:afterLines="50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太空架结构结合木制作，设计天花，发光字，色调和谐、相称，展台明亮，基础设施设备齐全，宣传灯箱海报布局合理。</w:t>
            </w:r>
          </w:p>
        </w:tc>
        <w:tc>
          <w:tcPr>
            <w:tcW w:w="708" w:type="dxa"/>
          </w:tcPr>
          <w:p w14:paraId="56C9A307">
            <w:pPr>
              <w:spacing w:before="156" w:beforeLines="50" w:after="156" w:afterLines="5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 w14:paraId="1080312B">
            <w:pPr>
              <w:spacing w:before="156" w:beforeLines="50" w:after="156" w:afterLines="50"/>
              <w:rPr>
                <w:rFonts w:ascii="仿宋" w:hAnsi="仿宋" w:eastAsia="仿宋"/>
                <w:szCs w:val="21"/>
              </w:rPr>
            </w:pPr>
          </w:p>
        </w:tc>
      </w:tr>
      <w:tr w14:paraId="76F49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980" w:type="dxa"/>
            <w:vAlign w:val="center"/>
          </w:tcPr>
          <w:p w14:paraId="6ED82BF4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设计方案整体效果</w:t>
            </w:r>
          </w:p>
        </w:tc>
        <w:tc>
          <w:tcPr>
            <w:tcW w:w="709" w:type="dxa"/>
            <w:vAlign w:val="center"/>
          </w:tcPr>
          <w:p w14:paraId="761B140B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20</w:t>
            </w:r>
          </w:p>
        </w:tc>
        <w:tc>
          <w:tcPr>
            <w:tcW w:w="3969" w:type="dxa"/>
          </w:tcPr>
          <w:p w14:paraId="07DCD320">
            <w:pPr>
              <w:spacing w:before="156" w:beforeLines="50" w:after="156" w:afterLines="50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能够突出企业文化理念，布局合理，充分利用空间，进行功能划分，具有设计亮点。</w:t>
            </w:r>
          </w:p>
        </w:tc>
        <w:tc>
          <w:tcPr>
            <w:tcW w:w="708" w:type="dxa"/>
          </w:tcPr>
          <w:p w14:paraId="3D9C201B">
            <w:pPr>
              <w:spacing w:before="156" w:beforeLines="50" w:after="156" w:afterLines="5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 w14:paraId="29888F77">
            <w:pPr>
              <w:spacing w:before="156" w:beforeLines="50" w:after="156" w:afterLines="50"/>
              <w:rPr>
                <w:rFonts w:ascii="仿宋" w:hAnsi="仿宋" w:eastAsia="仿宋"/>
                <w:szCs w:val="21"/>
              </w:rPr>
            </w:pPr>
          </w:p>
        </w:tc>
      </w:tr>
      <w:tr w14:paraId="11F6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980" w:type="dxa"/>
            <w:vAlign w:val="center"/>
          </w:tcPr>
          <w:p w14:paraId="1F9339E4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造价预算</w:t>
            </w:r>
          </w:p>
        </w:tc>
        <w:tc>
          <w:tcPr>
            <w:tcW w:w="709" w:type="dxa"/>
            <w:vAlign w:val="center"/>
          </w:tcPr>
          <w:p w14:paraId="6E209267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50</w:t>
            </w:r>
          </w:p>
        </w:tc>
        <w:tc>
          <w:tcPr>
            <w:tcW w:w="3969" w:type="dxa"/>
          </w:tcPr>
          <w:p w14:paraId="729D6A8F">
            <w:pPr>
              <w:spacing w:before="156" w:beforeLines="50" w:after="156" w:afterLines="50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在不高于资金最高预算的情况下，下降空间越大，评分越高。价格最低得满分，其余价格比最低价格每增加1%减去1分，最多减去20分，即：保底得分30分。</w:t>
            </w:r>
          </w:p>
        </w:tc>
        <w:tc>
          <w:tcPr>
            <w:tcW w:w="708" w:type="dxa"/>
          </w:tcPr>
          <w:p w14:paraId="1C0DD495">
            <w:pPr>
              <w:spacing w:before="156" w:beforeLines="50" w:after="156" w:afterLines="5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 w14:paraId="59A10981">
            <w:pPr>
              <w:spacing w:before="156" w:beforeLines="50" w:after="156" w:afterLines="50"/>
              <w:rPr>
                <w:rFonts w:ascii="仿宋" w:hAnsi="仿宋" w:eastAsia="仿宋"/>
                <w:szCs w:val="21"/>
              </w:rPr>
            </w:pPr>
          </w:p>
        </w:tc>
      </w:tr>
      <w:tr w14:paraId="51840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980" w:type="dxa"/>
            <w:vAlign w:val="center"/>
          </w:tcPr>
          <w:p w14:paraId="3AC983A3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合计</w:t>
            </w:r>
          </w:p>
        </w:tc>
        <w:tc>
          <w:tcPr>
            <w:tcW w:w="709" w:type="dxa"/>
            <w:vAlign w:val="center"/>
          </w:tcPr>
          <w:p w14:paraId="5FCBC7F3">
            <w:pPr>
              <w:spacing w:before="156" w:beforeLines="50" w:after="156" w:afterLines="50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100</w:t>
            </w:r>
          </w:p>
        </w:tc>
        <w:tc>
          <w:tcPr>
            <w:tcW w:w="3969" w:type="dxa"/>
          </w:tcPr>
          <w:p w14:paraId="27C296E9">
            <w:pPr>
              <w:spacing w:before="156" w:beforeLines="50" w:after="156" w:afterLines="50"/>
              <w:rPr>
                <w:rFonts w:ascii="仿宋_GB2312" w:hAnsi="仿宋" w:eastAsia="仿宋_GB2312"/>
                <w:szCs w:val="21"/>
              </w:rPr>
            </w:pPr>
          </w:p>
        </w:tc>
        <w:tc>
          <w:tcPr>
            <w:tcW w:w="708" w:type="dxa"/>
          </w:tcPr>
          <w:p w14:paraId="6F24361E">
            <w:pPr>
              <w:spacing w:before="156" w:beforeLines="50" w:after="156" w:afterLines="5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</w:tcPr>
          <w:p w14:paraId="5B3D160E">
            <w:pPr>
              <w:spacing w:before="156" w:beforeLines="50" w:after="156" w:afterLines="50"/>
              <w:rPr>
                <w:rFonts w:ascii="仿宋" w:hAnsi="仿宋" w:eastAsia="仿宋"/>
                <w:szCs w:val="21"/>
              </w:rPr>
            </w:pPr>
          </w:p>
        </w:tc>
      </w:tr>
    </w:tbl>
    <w:p w14:paraId="34AF17B0">
      <w:pPr>
        <w:rPr>
          <w:rFonts w:ascii="黑体" w:hAnsi="黑体" w:eastAsia="黑体" w:cs="仿宋"/>
          <w:sz w:val="24"/>
          <w:lang w:eastAsia="zh-Hans"/>
        </w:rPr>
      </w:pPr>
    </w:p>
    <w:p w14:paraId="09134D00"/>
    <w:sectPr>
      <w:pgSz w:w="11906" w:h="16838"/>
      <w:pgMar w:top="2098" w:right="1474" w:bottom="1701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837D5"/>
    <w:rsid w:val="3F58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2026-09-15T01:30:00Z</dcterms:created>
  <dc:creator>王旭东北制药</dc:creator>
  <cp:lastModifiedBy>王旭东北制药</cp:lastModifiedBy>
  <dcterms:modified xsi:type="dcterms:W3CDTF">2026-09-15T01:30:44Z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47A64796E0F44ADF8FD1F1C536281E36_11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